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9E" w:rsidRPr="00FF0D9E" w:rsidRDefault="00FF0D9E" w:rsidP="00FF0D9E">
      <w:pPr>
        <w:autoSpaceDE w:val="0"/>
        <w:autoSpaceDN w:val="0"/>
        <w:adjustRightInd w:val="0"/>
        <w:spacing w:after="120"/>
        <w:jc w:val="right"/>
        <w:rPr>
          <w:rFonts w:ascii="Arial" w:hAnsi="Arial" w:cs="Arial"/>
          <w:b/>
          <w:bCs/>
          <w:color w:val="000000"/>
        </w:rPr>
      </w:pP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sidRPr="00FF0D9E">
        <w:rPr>
          <w:rFonts w:ascii="Arial" w:hAnsi="Arial" w:cs="Arial"/>
          <w:b/>
          <w:bCs/>
          <w:color w:val="000000"/>
          <w:sz w:val="32"/>
          <w:szCs w:val="32"/>
        </w:rPr>
        <w:t>Dorothy Gardner Centre</w:t>
      </w: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Pr>
          <w:rFonts w:ascii="Arial" w:hAnsi="Arial" w:cs="Arial"/>
          <w:b/>
          <w:bCs/>
          <w:color w:val="000000"/>
          <w:sz w:val="32"/>
          <w:szCs w:val="32"/>
        </w:rPr>
        <w:t>Mary Pat</w:t>
      </w:r>
      <w:r w:rsidRPr="00FF0D9E">
        <w:rPr>
          <w:rFonts w:ascii="Arial" w:hAnsi="Arial" w:cs="Arial"/>
          <w:b/>
          <w:bCs/>
          <w:color w:val="000000"/>
          <w:sz w:val="32"/>
          <w:szCs w:val="32"/>
        </w:rPr>
        <w:t>erson Nursery School</w:t>
      </w:r>
    </w:p>
    <w:p w:rsidR="00FF0D9E" w:rsidRPr="00FF0D9E" w:rsidRDefault="00FF0D9E" w:rsidP="00FF0D9E">
      <w:pPr>
        <w:autoSpaceDE w:val="0"/>
        <w:autoSpaceDN w:val="0"/>
        <w:adjustRightInd w:val="0"/>
        <w:spacing w:after="120"/>
        <w:jc w:val="center"/>
        <w:rPr>
          <w:rFonts w:ascii="Arial" w:hAnsi="Arial" w:cs="Arial"/>
          <w:b/>
          <w:bCs/>
          <w:color w:val="000000"/>
          <w:sz w:val="32"/>
          <w:szCs w:val="32"/>
        </w:rPr>
      </w:pPr>
      <w:r w:rsidRPr="00FF0D9E">
        <w:rPr>
          <w:rFonts w:ascii="Arial" w:hAnsi="Arial" w:cs="Arial"/>
          <w:b/>
          <w:bCs/>
          <w:color w:val="000000"/>
          <w:sz w:val="32"/>
          <w:szCs w:val="32"/>
        </w:rPr>
        <w:t>Queen’s Park Children’s Centre</w:t>
      </w:r>
    </w:p>
    <w:p w:rsidR="00FF0D9E" w:rsidRDefault="00FF0D9E" w:rsidP="00FF0D9E">
      <w:pPr>
        <w:autoSpaceDE w:val="0"/>
        <w:autoSpaceDN w:val="0"/>
        <w:adjustRightInd w:val="0"/>
        <w:spacing w:after="120"/>
        <w:jc w:val="center"/>
        <w:rPr>
          <w:rFonts w:ascii="Arial" w:hAnsi="Arial" w:cs="Arial"/>
          <w:b/>
          <w:bCs/>
          <w:color w:val="000000"/>
          <w:sz w:val="32"/>
          <w:szCs w:val="32"/>
        </w:rPr>
      </w:pPr>
    </w:p>
    <w:p w:rsidR="00E42FF9" w:rsidRPr="00E42FF9" w:rsidRDefault="00E42FF9" w:rsidP="00E42FF9">
      <w:pPr>
        <w:tabs>
          <w:tab w:val="left" w:pos="2580"/>
        </w:tabs>
        <w:spacing w:after="160" w:line="259" w:lineRule="auto"/>
        <w:rPr>
          <w:rFonts w:asciiTheme="minorHAnsi" w:eastAsiaTheme="minorHAnsi" w:hAnsiTheme="minorHAnsi" w:cstheme="minorBidi"/>
          <w:sz w:val="22"/>
          <w:szCs w:val="22"/>
          <w:lang w:val="en-US" w:eastAsia="en-US"/>
        </w:rPr>
      </w:pPr>
    </w:p>
    <w:p w:rsidR="00B407DF" w:rsidRDefault="00E42FF9" w:rsidP="00B407DF">
      <w:pPr>
        <w:tabs>
          <w:tab w:val="left" w:pos="2580"/>
        </w:tabs>
        <w:spacing w:after="160" w:line="259" w:lineRule="auto"/>
        <w:rPr>
          <w:rFonts w:asciiTheme="minorHAnsi" w:eastAsiaTheme="minorHAnsi" w:hAnsiTheme="minorHAnsi" w:cstheme="minorBidi"/>
          <w:b/>
          <w:sz w:val="32"/>
          <w:szCs w:val="32"/>
          <w:lang w:val="en-US" w:eastAsia="en-US"/>
        </w:rPr>
      </w:pPr>
      <w:r>
        <w:rPr>
          <w:rFonts w:asciiTheme="minorHAnsi" w:eastAsiaTheme="minorHAnsi" w:hAnsiTheme="minorHAnsi" w:cstheme="minorBidi"/>
          <w:b/>
          <w:sz w:val="32"/>
          <w:szCs w:val="32"/>
          <w:lang w:val="en-US" w:eastAsia="en-US"/>
        </w:rPr>
        <w:t xml:space="preserve">                                             </w:t>
      </w:r>
      <w:r w:rsidR="00B407DF" w:rsidRPr="00B407DF">
        <w:rPr>
          <w:rFonts w:asciiTheme="minorHAnsi" w:eastAsiaTheme="minorHAnsi" w:hAnsiTheme="minorHAnsi" w:cstheme="minorBidi"/>
          <w:b/>
          <w:sz w:val="32"/>
          <w:szCs w:val="32"/>
          <w:lang w:val="en-US" w:eastAsia="en-US"/>
        </w:rPr>
        <w:t xml:space="preserve">Early Years Pupil Premium </w:t>
      </w:r>
    </w:p>
    <w:p w:rsidR="00B407DF" w:rsidRPr="00B407DF" w:rsidRDefault="00B407DF" w:rsidP="00B407DF">
      <w:pPr>
        <w:tabs>
          <w:tab w:val="left" w:pos="2580"/>
        </w:tabs>
        <w:spacing w:after="160" w:line="259" w:lineRule="auto"/>
        <w:rPr>
          <w:rFonts w:asciiTheme="minorHAnsi" w:eastAsiaTheme="minorHAnsi" w:hAnsiTheme="minorHAnsi" w:cstheme="minorBidi"/>
          <w:b/>
          <w:sz w:val="32"/>
          <w:szCs w:val="32"/>
          <w:lang w:val="en-US" w:eastAsia="en-US"/>
        </w:rPr>
      </w:pPr>
      <w:r>
        <w:rPr>
          <w:rFonts w:asciiTheme="minorHAnsi" w:eastAsiaTheme="minorHAnsi" w:hAnsiTheme="minorHAnsi" w:cstheme="minorBidi"/>
          <w:b/>
          <w:sz w:val="32"/>
          <w:szCs w:val="32"/>
          <w:lang w:val="en-US" w:eastAsia="en-US"/>
        </w:rPr>
        <w:t xml:space="preserve">              </w:t>
      </w:r>
      <w:r w:rsidR="00A11713">
        <w:rPr>
          <w:rFonts w:asciiTheme="minorHAnsi" w:eastAsiaTheme="minorHAnsi" w:hAnsiTheme="minorHAnsi" w:cstheme="minorBidi"/>
          <w:b/>
          <w:sz w:val="32"/>
          <w:szCs w:val="32"/>
          <w:lang w:val="en-US" w:eastAsia="en-US"/>
        </w:rPr>
        <w:t xml:space="preserve">                   </w:t>
      </w:r>
      <w:r w:rsidRPr="00B407DF">
        <w:rPr>
          <w:rFonts w:asciiTheme="minorHAnsi" w:eastAsiaTheme="minorHAnsi" w:hAnsiTheme="minorHAnsi" w:cstheme="minorBidi"/>
          <w:b/>
          <w:sz w:val="32"/>
          <w:szCs w:val="32"/>
          <w:lang w:val="en-US" w:eastAsia="en-US"/>
        </w:rPr>
        <w:t xml:space="preserve"> Strategy and </w:t>
      </w:r>
      <w:r>
        <w:rPr>
          <w:rFonts w:asciiTheme="minorHAnsi" w:eastAsiaTheme="minorHAnsi" w:hAnsiTheme="minorHAnsi" w:cstheme="minorBidi"/>
          <w:b/>
          <w:sz w:val="32"/>
          <w:szCs w:val="32"/>
          <w:lang w:val="en-US" w:eastAsia="en-US"/>
        </w:rPr>
        <w:t>Impact Report</w:t>
      </w:r>
      <w:r w:rsidRPr="00B407DF">
        <w:rPr>
          <w:rFonts w:asciiTheme="minorHAnsi" w:eastAsiaTheme="minorHAnsi" w:hAnsiTheme="minorHAnsi" w:cstheme="minorBidi"/>
          <w:b/>
          <w:sz w:val="32"/>
          <w:szCs w:val="32"/>
          <w:lang w:val="en-US" w:eastAsia="en-US"/>
        </w:rPr>
        <w:t xml:space="preserve">  201</w:t>
      </w:r>
      <w:r w:rsidR="00C17588">
        <w:rPr>
          <w:rFonts w:asciiTheme="minorHAnsi" w:eastAsiaTheme="minorHAnsi" w:hAnsiTheme="minorHAnsi" w:cstheme="minorBidi"/>
          <w:b/>
          <w:sz w:val="32"/>
          <w:szCs w:val="32"/>
          <w:lang w:val="en-US" w:eastAsia="en-US"/>
        </w:rPr>
        <w:t>8</w:t>
      </w:r>
      <w:bookmarkStart w:id="0" w:name="_GoBack"/>
      <w:bookmarkEnd w:id="0"/>
      <w:r w:rsidRPr="00B407DF">
        <w:rPr>
          <w:rFonts w:asciiTheme="minorHAnsi" w:eastAsiaTheme="minorHAnsi" w:hAnsiTheme="minorHAnsi" w:cstheme="minorBidi"/>
          <w:b/>
          <w:sz w:val="32"/>
          <w:szCs w:val="32"/>
          <w:lang w:val="en-US" w:eastAsia="en-US"/>
        </w:rPr>
        <w:t xml:space="preserve"> -2</w:t>
      </w:r>
      <w:r w:rsidR="00C17588">
        <w:rPr>
          <w:rFonts w:asciiTheme="minorHAnsi" w:eastAsiaTheme="minorHAnsi" w:hAnsiTheme="minorHAnsi" w:cstheme="minorBidi"/>
          <w:b/>
          <w:sz w:val="32"/>
          <w:szCs w:val="32"/>
          <w:lang w:val="en-US" w:eastAsia="en-US"/>
        </w:rPr>
        <w:t>1</w:t>
      </w:r>
      <w:r w:rsidRPr="00B407DF">
        <w:rPr>
          <w:rFonts w:asciiTheme="minorHAnsi" w:eastAsiaTheme="minorHAnsi" w:hAnsiTheme="minorHAnsi" w:cstheme="minorBidi"/>
          <w:b/>
          <w:sz w:val="32"/>
          <w:szCs w:val="32"/>
          <w:lang w:val="en-US" w:eastAsia="en-US"/>
        </w:rPr>
        <w:t xml:space="preserve">  </w:t>
      </w:r>
    </w:p>
    <w:tbl>
      <w:tblPr>
        <w:tblW w:w="1032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407DF" w:rsidTr="00B407DF">
        <w:tblPrEx>
          <w:tblCellMar>
            <w:top w:w="0" w:type="dxa"/>
            <w:bottom w:w="0" w:type="dxa"/>
          </w:tblCellMar>
        </w:tblPrEx>
        <w:trPr>
          <w:trHeight w:val="2190"/>
        </w:trPr>
        <w:tc>
          <w:tcPr>
            <w:tcW w:w="10320" w:type="dxa"/>
          </w:tcPr>
          <w:p w:rsidR="00B407DF" w:rsidRPr="00B407DF" w:rsidRDefault="00B407DF" w:rsidP="00B407DF">
            <w:pPr>
              <w:tabs>
                <w:tab w:val="left" w:pos="2580"/>
              </w:tabs>
              <w:spacing w:after="160" w:line="259" w:lineRule="auto"/>
              <w:ind w:left="116"/>
              <w:rPr>
                <w:rFonts w:asciiTheme="minorHAnsi" w:eastAsiaTheme="minorHAnsi" w:hAnsiTheme="minorHAnsi" w:cstheme="minorBidi"/>
                <w:b/>
                <w:sz w:val="28"/>
                <w:szCs w:val="28"/>
                <w:lang w:val="en-US" w:eastAsia="en-US"/>
              </w:rPr>
            </w:pPr>
            <w:r w:rsidRPr="00B407DF">
              <w:rPr>
                <w:rFonts w:asciiTheme="minorHAnsi" w:eastAsiaTheme="minorHAnsi" w:hAnsiTheme="minorHAnsi" w:cstheme="minorBidi"/>
                <w:b/>
                <w:sz w:val="28"/>
                <w:szCs w:val="28"/>
                <w:lang w:val="en-US" w:eastAsia="en-US"/>
              </w:rPr>
              <w:t xml:space="preserve">What is the pupil premium? </w:t>
            </w:r>
          </w:p>
          <w:p w:rsidR="00B407DF" w:rsidRDefault="00B407DF" w:rsidP="00B407DF">
            <w:pPr>
              <w:tabs>
                <w:tab w:val="left" w:pos="2580"/>
              </w:tabs>
              <w:spacing w:after="160" w:line="259" w:lineRule="auto"/>
              <w:ind w:left="116"/>
              <w:rPr>
                <w:rFonts w:asciiTheme="minorHAnsi" w:eastAsiaTheme="minorHAnsi" w:hAnsiTheme="minorHAnsi" w:cstheme="minorBidi"/>
                <w:b/>
                <w:sz w:val="28"/>
                <w:szCs w:val="28"/>
                <w:lang w:val="en-US" w:eastAsia="en-US"/>
              </w:rPr>
            </w:pPr>
            <w:r w:rsidRPr="00B407DF">
              <w:rPr>
                <w:rFonts w:asciiTheme="minorHAnsi" w:eastAsiaTheme="minorHAnsi" w:hAnsiTheme="minorHAnsi" w:cstheme="minorBidi"/>
                <w:sz w:val="28"/>
                <w:szCs w:val="28"/>
                <w:lang w:val="en-US" w:eastAsia="en-US"/>
              </w:rPr>
              <w:t xml:space="preserve">The Early Years Pupil Premium [EYPP] is additional funding that is allocated to nurseries to support children from low-income families. This includes families of looked- after children, families whose children are eligible for free school meals and children from service families.  The current funding is £302 per child for those who qualify.  </w:t>
            </w:r>
          </w:p>
        </w:tc>
      </w:tr>
    </w:tbl>
    <w:p w:rsidR="00B407DF" w:rsidRDefault="00B407DF" w:rsidP="00B407DF">
      <w:pPr>
        <w:tabs>
          <w:tab w:val="left" w:pos="2580"/>
        </w:tabs>
        <w:spacing w:after="160" w:line="259" w:lineRule="auto"/>
        <w:rPr>
          <w:rFonts w:asciiTheme="minorHAnsi" w:eastAsiaTheme="minorHAnsi" w:hAnsiTheme="minorHAnsi" w:cstheme="minorBidi"/>
          <w:b/>
          <w:sz w:val="28"/>
          <w:szCs w:val="28"/>
          <w:lang w:val="en-US" w:eastAsia="en-US"/>
        </w:rPr>
      </w:pPr>
    </w:p>
    <w:tbl>
      <w:tblPr>
        <w:tblW w:w="103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B407DF" w:rsidTr="00B407DF">
        <w:tblPrEx>
          <w:tblCellMar>
            <w:top w:w="0" w:type="dxa"/>
            <w:bottom w:w="0" w:type="dxa"/>
          </w:tblCellMar>
        </w:tblPrEx>
        <w:trPr>
          <w:trHeight w:val="4515"/>
        </w:trPr>
        <w:tc>
          <w:tcPr>
            <w:tcW w:w="10380" w:type="dxa"/>
          </w:tcPr>
          <w:p w:rsidR="00B407DF" w:rsidRPr="00B407DF" w:rsidRDefault="00B407DF" w:rsidP="00B407DF">
            <w:pPr>
              <w:tabs>
                <w:tab w:val="left" w:pos="2580"/>
              </w:tabs>
              <w:spacing w:after="160" w:line="259" w:lineRule="auto"/>
              <w:ind w:left="131"/>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b/>
                <w:sz w:val="28"/>
                <w:szCs w:val="28"/>
                <w:lang w:val="en-US" w:eastAsia="en-US"/>
              </w:rPr>
              <w:t xml:space="preserve">How much funding do both schools receive? </w:t>
            </w:r>
            <w:r w:rsidRPr="00B407DF">
              <w:rPr>
                <w:rFonts w:asciiTheme="minorHAnsi" w:eastAsiaTheme="minorHAnsi" w:hAnsiTheme="minorHAnsi" w:cstheme="minorBidi"/>
                <w:sz w:val="28"/>
                <w:szCs w:val="28"/>
                <w:lang w:val="en-US" w:eastAsia="en-US"/>
              </w:rPr>
              <w:t xml:space="preserve"> </w:t>
            </w:r>
          </w:p>
          <w:p w:rsidR="00B407DF" w:rsidRDefault="00B407DF" w:rsidP="00B407DF">
            <w:pPr>
              <w:tabs>
                <w:tab w:val="left" w:pos="2580"/>
              </w:tabs>
              <w:spacing w:after="160" w:line="259" w:lineRule="auto"/>
              <w:ind w:left="131"/>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Dorothy Gardner School ha</w:t>
            </w:r>
            <w:r>
              <w:rPr>
                <w:rFonts w:asciiTheme="minorHAnsi" w:eastAsiaTheme="minorHAnsi" w:hAnsiTheme="minorHAnsi" w:cstheme="minorBidi"/>
                <w:sz w:val="28"/>
                <w:szCs w:val="28"/>
                <w:lang w:val="en-US" w:eastAsia="en-US"/>
              </w:rPr>
              <w:t>d</w:t>
            </w:r>
            <w:r w:rsidRPr="00B407DF">
              <w:rPr>
                <w:rFonts w:asciiTheme="minorHAnsi" w:eastAsiaTheme="minorHAnsi" w:hAnsiTheme="minorHAnsi" w:cstheme="minorBidi"/>
                <w:sz w:val="28"/>
                <w:szCs w:val="28"/>
                <w:lang w:val="en-US" w:eastAsia="en-US"/>
              </w:rPr>
              <w:t xml:space="preserve"> 30 pupils who qualify (36%) of the roll. EYPP funds will be £9,060 </w:t>
            </w:r>
          </w:p>
          <w:p w:rsidR="00B407DF" w:rsidRPr="00B407DF" w:rsidRDefault="00B407DF" w:rsidP="00B407DF">
            <w:pPr>
              <w:tabs>
                <w:tab w:val="left" w:pos="2580"/>
              </w:tabs>
              <w:spacing w:after="160" w:line="259" w:lineRule="auto"/>
              <w:ind w:left="131"/>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 Mary Patterson </w:t>
            </w:r>
            <w:proofErr w:type="gramStart"/>
            <w:r w:rsidRPr="00B407DF">
              <w:rPr>
                <w:rFonts w:asciiTheme="minorHAnsi" w:eastAsiaTheme="minorHAnsi" w:hAnsiTheme="minorHAnsi" w:cstheme="minorBidi"/>
                <w:sz w:val="28"/>
                <w:szCs w:val="28"/>
                <w:lang w:val="en-US" w:eastAsia="en-US"/>
              </w:rPr>
              <w:t>School  ha</w:t>
            </w:r>
            <w:r>
              <w:rPr>
                <w:rFonts w:asciiTheme="minorHAnsi" w:eastAsiaTheme="minorHAnsi" w:hAnsiTheme="minorHAnsi" w:cstheme="minorBidi"/>
                <w:sz w:val="28"/>
                <w:szCs w:val="28"/>
                <w:lang w:val="en-US" w:eastAsia="en-US"/>
              </w:rPr>
              <w:t>d</w:t>
            </w:r>
            <w:proofErr w:type="gramEnd"/>
            <w:r w:rsidRPr="00B407DF">
              <w:rPr>
                <w:rFonts w:asciiTheme="minorHAnsi" w:eastAsiaTheme="minorHAnsi" w:hAnsiTheme="minorHAnsi" w:cstheme="minorBidi"/>
                <w:sz w:val="28"/>
                <w:szCs w:val="28"/>
                <w:lang w:val="en-US" w:eastAsia="en-US"/>
              </w:rPr>
              <w:t xml:space="preserve"> 15 pupils who qualify (21%) of the roll. EYPP funds will be £4,530  </w:t>
            </w:r>
          </w:p>
          <w:p w:rsidR="00B407DF" w:rsidRDefault="00B407DF" w:rsidP="00B407DF">
            <w:pPr>
              <w:tabs>
                <w:tab w:val="left" w:pos="2580"/>
              </w:tabs>
              <w:spacing w:after="160" w:line="259" w:lineRule="auto"/>
              <w:ind w:left="131"/>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This gives the schools £13,590 per year. Both schools have decided to work together to use this money to contribute to the costs of providing ‘Forest School’ experience for our children who qualify for the EYFF before they leave us and transition to primary school. The funding doesn’t cover the entire cost of Forest School but it helps us to be able to continue to provide it with consistently high quality teaching delivered by fully trained staff who have been trained by an accredited ‘Forest School’ training provider</w:t>
            </w:r>
          </w:p>
          <w:p w:rsidR="00B407DF" w:rsidRDefault="00B407DF" w:rsidP="00B407DF">
            <w:pPr>
              <w:tabs>
                <w:tab w:val="left" w:pos="2580"/>
              </w:tabs>
              <w:spacing w:after="160" w:line="259" w:lineRule="auto"/>
              <w:ind w:left="131"/>
              <w:rPr>
                <w:rFonts w:asciiTheme="minorHAnsi" w:eastAsiaTheme="minorHAnsi" w:hAnsiTheme="minorHAnsi" w:cstheme="minorBidi"/>
                <w:b/>
                <w:sz w:val="28"/>
                <w:szCs w:val="28"/>
                <w:lang w:val="en-US" w:eastAsia="en-US"/>
              </w:rPr>
            </w:pPr>
          </w:p>
        </w:tc>
      </w:tr>
    </w:tbl>
    <w:p w:rsidR="00B407DF" w:rsidRPr="00B407DF" w:rsidRDefault="00B407DF" w:rsidP="00B407DF">
      <w:pPr>
        <w:tabs>
          <w:tab w:val="left" w:pos="2580"/>
        </w:tabs>
        <w:spacing w:after="160" w:line="259" w:lineRule="auto"/>
        <w:rPr>
          <w:rFonts w:asciiTheme="minorHAnsi" w:eastAsiaTheme="minorHAnsi" w:hAnsiTheme="minorHAnsi" w:cstheme="minorBidi"/>
          <w:sz w:val="28"/>
          <w:szCs w:val="28"/>
          <w:lang w:val="en-US" w:eastAsia="en-US"/>
        </w:rPr>
      </w:pPr>
    </w:p>
    <w:tbl>
      <w:tblPr>
        <w:tblW w:w="102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B407DF" w:rsidTr="00C90B02">
        <w:tblPrEx>
          <w:tblCellMar>
            <w:top w:w="0" w:type="dxa"/>
            <w:bottom w:w="0" w:type="dxa"/>
          </w:tblCellMar>
        </w:tblPrEx>
        <w:trPr>
          <w:trHeight w:val="3684"/>
        </w:trPr>
        <w:tc>
          <w:tcPr>
            <w:tcW w:w="10260" w:type="dxa"/>
          </w:tcPr>
          <w:p w:rsidR="00B407DF" w:rsidRPr="00EC631D" w:rsidRDefault="00B407DF" w:rsidP="00C90B02">
            <w:pPr>
              <w:tabs>
                <w:tab w:val="left" w:pos="2580"/>
              </w:tabs>
              <w:spacing w:after="160" w:line="259" w:lineRule="auto"/>
              <w:ind w:left="-34"/>
              <w:rPr>
                <w:rFonts w:asciiTheme="minorHAnsi" w:eastAsiaTheme="minorHAnsi" w:hAnsiTheme="minorHAnsi" w:cstheme="minorBidi"/>
                <w:b/>
                <w:sz w:val="36"/>
                <w:szCs w:val="36"/>
                <w:u w:val="single"/>
                <w:lang w:val="en-US" w:eastAsia="en-US"/>
              </w:rPr>
            </w:pPr>
            <w:r w:rsidRPr="00EC631D">
              <w:rPr>
                <w:rFonts w:asciiTheme="minorHAnsi" w:eastAsiaTheme="minorHAnsi" w:hAnsiTheme="minorHAnsi" w:cstheme="minorBidi"/>
                <w:b/>
                <w:sz w:val="36"/>
                <w:szCs w:val="36"/>
                <w:u w:val="single"/>
                <w:lang w:val="en-US" w:eastAsia="en-US"/>
              </w:rPr>
              <w:lastRenderedPageBreak/>
              <w:t>Intent</w:t>
            </w:r>
            <w:r w:rsidR="00A43762" w:rsidRPr="00EC631D">
              <w:rPr>
                <w:rFonts w:asciiTheme="minorHAnsi" w:eastAsiaTheme="minorHAnsi" w:hAnsiTheme="minorHAnsi" w:cstheme="minorBidi"/>
                <w:b/>
                <w:sz w:val="36"/>
                <w:szCs w:val="36"/>
                <w:u w:val="single"/>
                <w:lang w:val="en-US" w:eastAsia="en-US"/>
              </w:rPr>
              <w:t xml:space="preserve">  ( Rationale) </w:t>
            </w:r>
          </w:p>
          <w:p w:rsidR="00B407DF" w:rsidRPr="00B407DF"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b/>
                <w:sz w:val="28"/>
                <w:szCs w:val="28"/>
                <w:lang w:val="en-US" w:eastAsia="en-US"/>
              </w:rPr>
              <w:t xml:space="preserve">What Are The Benefits of Forest School? </w:t>
            </w:r>
            <w:r w:rsidRPr="00B407DF">
              <w:rPr>
                <w:rFonts w:asciiTheme="minorHAnsi" w:eastAsiaTheme="minorHAnsi" w:hAnsiTheme="minorHAnsi" w:cstheme="minorBidi"/>
                <w:sz w:val="28"/>
                <w:szCs w:val="28"/>
                <w:lang w:val="en-US" w:eastAsia="en-US"/>
              </w:rPr>
              <w:t xml:space="preserve"> </w:t>
            </w:r>
          </w:p>
          <w:p w:rsidR="00A43762" w:rsidRDefault="00A43762"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A43762">
              <w:rPr>
                <w:rFonts w:asciiTheme="minorHAnsi" w:eastAsiaTheme="minorHAnsi" w:hAnsiTheme="minorHAnsi" w:cstheme="minorBidi"/>
                <w:b/>
                <w:sz w:val="28"/>
                <w:szCs w:val="28"/>
                <w:lang w:val="en-US" w:eastAsia="en-US"/>
              </w:rPr>
              <w:t>Research based intervention</w:t>
            </w:r>
            <w:r>
              <w:rPr>
                <w:rFonts w:asciiTheme="minorHAnsi" w:eastAsiaTheme="minorHAnsi" w:hAnsiTheme="minorHAnsi" w:cstheme="minorBidi"/>
                <w:sz w:val="28"/>
                <w:szCs w:val="28"/>
                <w:lang w:val="en-US" w:eastAsia="en-US"/>
              </w:rPr>
              <w:t>.</w:t>
            </w:r>
          </w:p>
          <w:p w:rsidR="00B407DF"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L. O’Brien, Surrey, UK ‘Learning outdoors: the Forest School approach – A </w:t>
            </w:r>
            <w:proofErr w:type="spellStart"/>
            <w:r w:rsidRPr="00B407DF">
              <w:rPr>
                <w:rFonts w:asciiTheme="minorHAnsi" w:eastAsiaTheme="minorHAnsi" w:hAnsiTheme="minorHAnsi" w:cstheme="minorBidi"/>
                <w:sz w:val="28"/>
                <w:szCs w:val="28"/>
                <w:lang w:val="en-US" w:eastAsia="en-US"/>
              </w:rPr>
              <w:t>marvellous</w:t>
            </w:r>
            <w:proofErr w:type="spellEnd"/>
            <w:r w:rsidRPr="00B407DF">
              <w:rPr>
                <w:rFonts w:asciiTheme="minorHAnsi" w:eastAsiaTheme="minorHAnsi" w:hAnsiTheme="minorHAnsi" w:cstheme="minorBidi"/>
                <w:sz w:val="28"/>
                <w:szCs w:val="28"/>
                <w:lang w:val="en-US" w:eastAsia="en-US"/>
              </w:rPr>
              <w:t xml:space="preserve"> way to learn’ (2008), identifies the following benefits to pupils. </w:t>
            </w:r>
          </w:p>
          <w:p w:rsidR="00B407DF" w:rsidRPr="00B407DF"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  1 -   Increased confidence to learn</w:t>
            </w:r>
            <w:r>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As a result of the freedom, encouragement, time and space offered during Forest School, children learn at their own pace and level. Exploring repeated activities and making decisions about</w:t>
            </w:r>
            <w:r>
              <w:rPr>
                <w:rFonts w:asciiTheme="minorHAnsi" w:eastAsiaTheme="minorHAnsi" w:hAnsiTheme="minorHAnsi" w:cstheme="minorBidi"/>
                <w:sz w:val="28"/>
                <w:szCs w:val="28"/>
                <w:lang w:val="en-US" w:eastAsia="en-US"/>
              </w:rPr>
              <w:t xml:space="preserve"> </w:t>
            </w:r>
            <w:r w:rsidRPr="00B407DF">
              <w:rPr>
                <w:rFonts w:asciiTheme="minorHAnsi" w:eastAsiaTheme="minorHAnsi" w:hAnsiTheme="minorHAnsi" w:cstheme="minorBidi"/>
                <w:sz w:val="28"/>
                <w:szCs w:val="28"/>
                <w:lang w:val="en-US" w:eastAsia="en-US"/>
              </w:rPr>
              <w:t xml:space="preserve">how they might complete their task enables </w:t>
            </w:r>
            <w:r w:rsidRPr="00A43762">
              <w:rPr>
                <w:rFonts w:asciiTheme="minorHAnsi" w:eastAsiaTheme="minorHAnsi" w:hAnsiTheme="minorHAnsi" w:cstheme="minorBidi"/>
                <w:i/>
                <w:sz w:val="28"/>
                <w:szCs w:val="28"/>
                <w:lang w:val="en-US" w:eastAsia="en-US"/>
              </w:rPr>
              <w:t>deep learning</w:t>
            </w:r>
            <w:r w:rsidRPr="00B407DF">
              <w:rPr>
                <w:rFonts w:asciiTheme="minorHAnsi" w:eastAsiaTheme="minorHAnsi" w:hAnsiTheme="minorHAnsi" w:cstheme="minorBidi"/>
                <w:sz w:val="28"/>
                <w:szCs w:val="28"/>
                <w:lang w:val="en-US" w:eastAsia="en-US"/>
              </w:rPr>
              <w:t xml:space="preserve"> and develops a positive attitude to the learning process. These attitudes and skills are the building blocks for future learning</w:t>
            </w:r>
            <w:r w:rsidR="00A43762">
              <w:rPr>
                <w:rFonts w:asciiTheme="minorHAnsi" w:eastAsiaTheme="minorHAnsi" w:hAnsiTheme="minorHAnsi" w:cstheme="minorBidi"/>
                <w:sz w:val="28"/>
                <w:szCs w:val="28"/>
                <w:lang w:val="en-US" w:eastAsia="en-US"/>
              </w:rPr>
              <w:t xml:space="preserve">, we call this developing the </w:t>
            </w:r>
            <w:r w:rsidR="00A43762" w:rsidRPr="00A43762">
              <w:rPr>
                <w:rFonts w:asciiTheme="minorHAnsi" w:eastAsiaTheme="minorHAnsi" w:hAnsiTheme="minorHAnsi" w:cstheme="minorBidi"/>
                <w:i/>
                <w:sz w:val="28"/>
                <w:szCs w:val="28"/>
                <w:lang w:val="en-US" w:eastAsia="en-US"/>
              </w:rPr>
              <w:t>Characteristics of effective learning</w:t>
            </w:r>
            <w:r w:rsidR="00A43762">
              <w:rPr>
                <w:rFonts w:asciiTheme="minorHAnsi" w:eastAsiaTheme="minorHAnsi" w:hAnsiTheme="minorHAnsi" w:cstheme="minorBidi"/>
                <w:sz w:val="28"/>
                <w:szCs w:val="28"/>
                <w:lang w:val="en-US" w:eastAsia="en-US"/>
              </w:rPr>
              <w:t xml:space="preserve">. </w:t>
            </w:r>
            <w:r w:rsidRPr="00B407DF">
              <w:rPr>
                <w:rFonts w:asciiTheme="minorHAnsi" w:eastAsiaTheme="minorHAnsi" w:hAnsiTheme="minorHAnsi" w:cstheme="minorBidi"/>
                <w:sz w:val="28"/>
                <w:szCs w:val="28"/>
                <w:lang w:val="en-US" w:eastAsia="en-US"/>
              </w:rPr>
              <w:t xml:space="preserve"> </w:t>
            </w:r>
          </w:p>
          <w:p w:rsidR="00B407DF" w:rsidRPr="00B407DF"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  2 -   Social skills Development</w:t>
            </w:r>
            <w:r>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At Forest School children work together, sharing tools and ideas. Children learn about team work and the consequences of their actions on others.  </w:t>
            </w:r>
          </w:p>
          <w:p w:rsidR="00A43762" w:rsidRDefault="00A43762" w:rsidP="00C90B02">
            <w:pPr>
              <w:tabs>
                <w:tab w:val="left" w:pos="2580"/>
              </w:tabs>
              <w:spacing w:after="160" w:line="259" w:lineRule="auto"/>
              <w:ind w:left="-34"/>
              <w:rPr>
                <w:rFonts w:asciiTheme="minorHAnsi" w:eastAsiaTheme="minorHAnsi" w:hAnsiTheme="minorHAnsi" w:cstheme="minorBidi"/>
                <w:b/>
                <w:sz w:val="28"/>
                <w:szCs w:val="28"/>
                <w:u w:val="single"/>
                <w:lang w:val="en-US" w:eastAsia="en-US"/>
              </w:rPr>
            </w:pPr>
            <w:r>
              <w:rPr>
                <w:rFonts w:asciiTheme="minorHAnsi" w:eastAsiaTheme="minorHAnsi" w:hAnsiTheme="minorHAnsi" w:cstheme="minorBidi"/>
                <w:b/>
                <w:sz w:val="28"/>
                <w:szCs w:val="28"/>
                <w:u w:val="single"/>
                <w:lang w:val="en-US" w:eastAsia="en-US"/>
              </w:rPr>
              <w:t>Supporting the research, our experiences over the years shows the following benefits.</w:t>
            </w:r>
          </w:p>
          <w:p w:rsidR="00A43762"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proofErr w:type="gramStart"/>
            <w:r w:rsidRPr="00A43762">
              <w:rPr>
                <w:rFonts w:asciiTheme="minorHAnsi" w:eastAsiaTheme="minorHAnsi" w:hAnsiTheme="minorHAnsi" w:cstheme="minorBidi"/>
                <w:b/>
                <w:sz w:val="28"/>
                <w:szCs w:val="28"/>
                <w:u w:val="single"/>
                <w:lang w:val="en-US" w:eastAsia="en-US"/>
              </w:rPr>
              <w:t xml:space="preserve">Communication </w:t>
            </w:r>
            <w:r>
              <w:rPr>
                <w:rFonts w:asciiTheme="minorHAnsi" w:eastAsiaTheme="minorHAnsi" w:hAnsiTheme="minorHAnsi" w:cstheme="minorBidi"/>
                <w:sz w:val="28"/>
                <w:szCs w:val="28"/>
                <w:lang w:val="en-US" w:eastAsia="en-US"/>
              </w:rPr>
              <w:t>.</w:t>
            </w:r>
            <w:proofErr w:type="gramEnd"/>
            <w:r w:rsidRPr="00B407DF">
              <w:rPr>
                <w:rFonts w:asciiTheme="minorHAnsi" w:eastAsiaTheme="minorHAnsi" w:hAnsiTheme="minorHAnsi" w:cstheme="minorBidi"/>
                <w:sz w:val="28"/>
                <w:szCs w:val="28"/>
                <w:lang w:val="en-US" w:eastAsia="en-US"/>
              </w:rPr>
              <w:t xml:space="preserve">  Language development is a key to future learning in young children. The experience </w:t>
            </w:r>
            <w:r w:rsidR="00A43762">
              <w:rPr>
                <w:rFonts w:asciiTheme="minorHAnsi" w:eastAsiaTheme="minorHAnsi" w:hAnsiTheme="minorHAnsi" w:cstheme="minorBidi"/>
                <w:sz w:val="28"/>
                <w:szCs w:val="28"/>
                <w:lang w:val="en-US" w:eastAsia="en-US"/>
              </w:rPr>
              <w:t xml:space="preserve">of </w:t>
            </w:r>
            <w:r w:rsidRPr="00B407DF">
              <w:rPr>
                <w:rFonts w:asciiTheme="minorHAnsi" w:eastAsiaTheme="minorHAnsi" w:hAnsiTheme="minorHAnsi" w:cstheme="minorBidi"/>
                <w:sz w:val="28"/>
                <w:szCs w:val="28"/>
                <w:lang w:val="en-US" w:eastAsia="en-US"/>
              </w:rPr>
              <w:t>Forest School encourages communication for all children. Forest School takes place off site</w:t>
            </w:r>
            <w:r w:rsidR="00A43762">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on Hampstead Heath and offers children the opportunity to experience the outdoors and to interact with nature. Many</w:t>
            </w:r>
            <w:r w:rsidR="00A43762">
              <w:rPr>
                <w:rFonts w:asciiTheme="minorHAnsi" w:eastAsiaTheme="minorHAnsi" w:hAnsiTheme="minorHAnsi" w:cstheme="minorBidi"/>
                <w:sz w:val="28"/>
                <w:szCs w:val="28"/>
                <w:lang w:val="en-US" w:eastAsia="en-US"/>
              </w:rPr>
              <w:t xml:space="preserve"> of our </w:t>
            </w:r>
            <w:r w:rsidRPr="00B407DF">
              <w:rPr>
                <w:rFonts w:asciiTheme="minorHAnsi" w:eastAsiaTheme="minorHAnsi" w:hAnsiTheme="minorHAnsi" w:cstheme="minorBidi"/>
                <w:sz w:val="28"/>
                <w:szCs w:val="28"/>
                <w:lang w:val="en-US" w:eastAsia="en-US"/>
              </w:rPr>
              <w:t>children</w:t>
            </w:r>
            <w:r w:rsidR="00A43762">
              <w:rPr>
                <w:rFonts w:asciiTheme="minorHAnsi" w:eastAsiaTheme="minorHAnsi" w:hAnsiTheme="minorHAnsi" w:cstheme="minorBidi"/>
                <w:sz w:val="28"/>
                <w:szCs w:val="28"/>
                <w:lang w:val="en-US" w:eastAsia="en-US"/>
              </w:rPr>
              <w:t xml:space="preserve">, living in </w:t>
            </w:r>
            <w:proofErr w:type="gramStart"/>
            <w:r w:rsidR="00A43762">
              <w:rPr>
                <w:rFonts w:asciiTheme="minorHAnsi" w:eastAsiaTheme="minorHAnsi" w:hAnsiTheme="minorHAnsi" w:cstheme="minorBidi"/>
                <w:sz w:val="28"/>
                <w:szCs w:val="28"/>
                <w:lang w:val="en-US" w:eastAsia="en-US"/>
              </w:rPr>
              <w:t xml:space="preserve">the </w:t>
            </w:r>
            <w:r w:rsidRPr="00B407DF">
              <w:rPr>
                <w:rFonts w:asciiTheme="minorHAnsi" w:eastAsiaTheme="minorHAnsi" w:hAnsiTheme="minorHAnsi" w:cstheme="minorBidi"/>
                <w:sz w:val="28"/>
                <w:szCs w:val="28"/>
                <w:lang w:val="en-US" w:eastAsia="en-US"/>
              </w:rPr>
              <w:t xml:space="preserve"> inner</w:t>
            </w:r>
            <w:proofErr w:type="gramEnd"/>
            <w:r w:rsidRPr="00B407DF">
              <w:rPr>
                <w:rFonts w:asciiTheme="minorHAnsi" w:eastAsiaTheme="minorHAnsi" w:hAnsiTheme="minorHAnsi" w:cstheme="minorBidi"/>
                <w:sz w:val="28"/>
                <w:szCs w:val="28"/>
                <w:lang w:val="en-US" w:eastAsia="en-US"/>
              </w:rPr>
              <w:t xml:space="preserve"> city</w:t>
            </w:r>
            <w:r w:rsidR="00A43762">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may not have this opportunity</w:t>
            </w:r>
            <w:r w:rsidR="00A43762">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Our experience of taking young children to Forest School has shown us that even the most reluctant communicators have engaged well and been very keen to relay their learning to others through talk, role play or drawings.</w:t>
            </w:r>
          </w:p>
          <w:p w:rsidR="00B407DF" w:rsidRDefault="00B407DF"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 </w:t>
            </w:r>
            <w:r w:rsidRPr="00A43762">
              <w:rPr>
                <w:rFonts w:asciiTheme="minorHAnsi" w:eastAsiaTheme="minorHAnsi" w:hAnsiTheme="minorHAnsi" w:cstheme="minorBidi"/>
                <w:b/>
                <w:sz w:val="28"/>
                <w:szCs w:val="28"/>
                <w:u w:val="single"/>
                <w:lang w:val="en-US" w:eastAsia="en-US"/>
              </w:rPr>
              <w:t>Motivation and Concentration</w:t>
            </w:r>
            <w:r>
              <w:rPr>
                <w:rFonts w:asciiTheme="minorHAnsi" w:eastAsiaTheme="minorHAnsi" w:hAnsiTheme="minorHAnsi" w:cstheme="minorBidi"/>
                <w:sz w:val="28"/>
                <w:szCs w:val="28"/>
                <w:lang w:val="en-US" w:eastAsia="en-US"/>
              </w:rPr>
              <w:t>.</w:t>
            </w:r>
            <w:r w:rsidRPr="00B407DF">
              <w:rPr>
                <w:rFonts w:asciiTheme="minorHAnsi" w:eastAsiaTheme="minorHAnsi" w:hAnsiTheme="minorHAnsi" w:cstheme="minorBidi"/>
                <w:sz w:val="28"/>
                <w:szCs w:val="28"/>
                <w:lang w:val="en-US" w:eastAsia="en-US"/>
              </w:rPr>
              <w:t xml:space="preserve">   When children are interested in what they are doing, they are motivated to learn and this leads to increased concentration. When a child is concentrating, the neural pathways strengthen in the young brain. The more the pathways are used, the stronger they become.  </w:t>
            </w:r>
          </w:p>
          <w:p w:rsidR="00EC631D" w:rsidRDefault="00B407DF" w:rsidP="00C90B02">
            <w:pPr>
              <w:tabs>
                <w:tab w:val="left" w:pos="2580"/>
              </w:tabs>
              <w:spacing w:after="160" w:line="259" w:lineRule="auto"/>
              <w:rPr>
                <w:rFonts w:asciiTheme="minorHAnsi" w:eastAsiaTheme="minorHAnsi" w:hAnsiTheme="minorHAnsi" w:cstheme="minorBidi"/>
                <w:sz w:val="28"/>
                <w:szCs w:val="28"/>
                <w:lang w:val="en-US" w:eastAsia="en-US"/>
              </w:rPr>
            </w:pPr>
            <w:r w:rsidRPr="00B407DF">
              <w:rPr>
                <w:rFonts w:asciiTheme="minorHAnsi" w:eastAsiaTheme="minorHAnsi" w:hAnsiTheme="minorHAnsi" w:cstheme="minorBidi"/>
                <w:sz w:val="28"/>
                <w:szCs w:val="28"/>
                <w:lang w:val="en-US" w:eastAsia="en-US"/>
              </w:rPr>
              <w:t xml:space="preserve"> </w:t>
            </w:r>
            <w:r w:rsidRPr="00A43762">
              <w:rPr>
                <w:rFonts w:asciiTheme="minorHAnsi" w:eastAsiaTheme="minorHAnsi" w:hAnsiTheme="minorHAnsi" w:cstheme="minorBidi"/>
                <w:b/>
                <w:sz w:val="28"/>
                <w:szCs w:val="28"/>
                <w:u w:val="single"/>
                <w:lang w:val="en-US" w:eastAsia="en-US"/>
              </w:rPr>
              <w:t>Physical benefits</w:t>
            </w:r>
            <w:r w:rsidRPr="00A43762">
              <w:rPr>
                <w:rFonts w:asciiTheme="minorHAnsi" w:eastAsiaTheme="minorHAnsi" w:hAnsiTheme="minorHAnsi" w:cstheme="minorBidi"/>
                <w:b/>
                <w:sz w:val="28"/>
                <w:szCs w:val="28"/>
                <w:u w:val="single"/>
                <w:lang w:val="en-US" w:eastAsia="en-US"/>
              </w:rPr>
              <w:t>.</w:t>
            </w:r>
            <w:r w:rsidRPr="00B407DF">
              <w:rPr>
                <w:rFonts w:asciiTheme="minorHAnsi" w:eastAsiaTheme="minorHAnsi" w:hAnsiTheme="minorHAnsi" w:cstheme="minorBidi"/>
                <w:sz w:val="28"/>
                <w:szCs w:val="28"/>
                <w:lang w:val="en-US" w:eastAsia="en-US"/>
              </w:rPr>
              <w:t xml:space="preserve">   Many inner-London children do not have easy access to open, green spaces. Forest School is an excellent opportunity to provide them with this resource. As a result of being and exploring outdoors children develop stamina, strength and fine and</w:t>
            </w:r>
            <w:r w:rsidR="00A43762" w:rsidRPr="00B407DF">
              <w:rPr>
                <w:rFonts w:asciiTheme="minorHAnsi" w:eastAsiaTheme="minorHAnsi" w:hAnsiTheme="minorHAnsi" w:cstheme="minorBidi"/>
                <w:sz w:val="28"/>
                <w:szCs w:val="28"/>
                <w:lang w:val="en-US" w:eastAsia="en-US"/>
              </w:rPr>
              <w:t xml:space="preserve"> </w:t>
            </w:r>
            <w:r w:rsidR="00A43762" w:rsidRPr="00B407DF">
              <w:rPr>
                <w:rFonts w:asciiTheme="minorHAnsi" w:eastAsiaTheme="minorHAnsi" w:hAnsiTheme="minorHAnsi" w:cstheme="minorBidi"/>
                <w:sz w:val="28"/>
                <w:szCs w:val="28"/>
                <w:lang w:val="en-US" w:eastAsia="en-US"/>
              </w:rPr>
              <w:t>gross motor skills, which in turn, help them access many other areas of learning.</w:t>
            </w:r>
            <w:r w:rsidR="00EC631D" w:rsidRPr="00B407DF">
              <w:rPr>
                <w:rFonts w:asciiTheme="minorHAnsi" w:eastAsiaTheme="minorHAnsi" w:hAnsiTheme="minorHAnsi" w:cstheme="minorBidi"/>
                <w:sz w:val="28"/>
                <w:szCs w:val="28"/>
                <w:lang w:val="en-US" w:eastAsia="en-US"/>
              </w:rPr>
              <w:t xml:space="preserve">  Knowledge and Understanding</w:t>
            </w:r>
            <w:r w:rsidR="00EC631D">
              <w:rPr>
                <w:rFonts w:asciiTheme="minorHAnsi" w:eastAsiaTheme="minorHAnsi" w:hAnsiTheme="minorHAnsi" w:cstheme="minorBidi"/>
                <w:sz w:val="28"/>
                <w:szCs w:val="28"/>
                <w:lang w:val="en-US" w:eastAsia="en-US"/>
              </w:rPr>
              <w:t xml:space="preserve">. </w:t>
            </w:r>
            <w:r w:rsidR="00EC631D" w:rsidRPr="00B407DF">
              <w:rPr>
                <w:rFonts w:asciiTheme="minorHAnsi" w:eastAsiaTheme="minorHAnsi" w:hAnsiTheme="minorHAnsi" w:cstheme="minorBidi"/>
                <w:sz w:val="28"/>
                <w:szCs w:val="28"/>
                <w:lang w:val="en-US" w:eastAsia="en-US"/>
              </w:rPr>
              <w:t xml:space="preserve">  Encouraging and supporting children to develop an </w:t>
            </w:r>
            <w:r w:rsidR="00EC631D" w:rsidRPr="00B407DF">
              <w:rPr>
                <w:rFonts w:asciiTheme="minorHAnsi" w:eastAsiaTheme="minorHAnsi" w:hAnsiTheme="minorHAnsi" w:cstheme="minorBidi"/>
                <w:sz w:val="28"/>
                <w:szCs w:val="28"/>
                <w:lang w:val="en-US" w:eastAsia="en-US"/>
              </w:rPr>
              <w:lastRenderedPageBreak/>
              <w:t xml:space="preserve">interest in nature and a respect for the environment is an investment that will protect the natural world for future generations. Children in inner cities particularly benefit from the opportunity to experience this connection.   </w:t>
            </w:r>
          </w:p>
          <w:p w:rsidR="00B407DF" w:rsidRDefault="00EC631D" w:rsidP="00C90B02">
            <w:pPr>
              <w:tabs>
                <w:tab w:val="left" w:pos="2580"/>
              </w:tabs>
              <w:spacing w:after="160" w:line="259" w:lineRule="auto"/>
              <w:rPr>
                <w:rFonts w:asciiTheme="minorHAnsi" w:eastAsiaTheme="minorHAnsi" w:hAnsiTheme="minorHAnsi" w:cstheme="minorBidi"/>
                <w:b/>
                <w:sz w:val="28"/>
                <w:szCs w:val="28"/>
                <w:lang w:val="en-US" w:eastAsia="en-US"/>
              </w:rPr>
            </w:pPr>
            <w:r w:rsidRPr="00EC631D">
              <w:rPr>
                <w:rFonts w:asciiTheme="minorHAnsi" w:eastAsiaTheme="minorHAnsi" w:hAnsiTheme="minorHAnsi" w:cstheme="minorBidi"/>
                <w:b/>
                <w:sz w:val="28"/>
                <w:szCs w:val="28"/>
                <w:u w:val="single"/>
                <w:lang w:val="en-US" w:eastAsia="en-US"/>
              </w:rPr>
              <w:t xml:space="preserve">Taking </w:t>
            </w:r>
            <w:proofErr w:type="gramStart"/>
            <w:r w:rsidRPr="00EC631D">
              <w:rPr>
                <w:rFonts w:asciiTheme="minorHAnsi" w:eastAsiaTheme="minorHAnsi" w:hAnsiTheme="minorHAnsi" w:cstheme="minorBidi"/>
                <w:b/>
                <w:sz w:val="28"/>
                <w:szCs w:val="28"/>
                <w:u w:val="single"/>
                <w:lang w:val="en-US" w:eastAsia="en-US"/>
              </w:rPr>
              <w:t>Risks</w:t>
            </w:r>
            <w:r w:rsidRPr="00B407DF">
              <w:rPr>
                <w:rFonts w:asciiTheme="minorHAnsi" w:eastAsiaTheme="minorHAnsi" w:hAnsiTheme="minorHAnsi" w:cstheme="minorBidi"/>
                <w:sz w:val="28"/>
                <w:szCs w:val="28"/>
                <w:lang w:val="en-US" w:eastAsia="en-US"/>
              </w:rPr>
              <w:t xml:space="preserve"> </w:t>
            </w:r>
            <w:r>
              <w:rPr>
                <w:rFonts w:asciiTheme="minorHAnsi" w:eastAsiaTheme="minorHAnsi" w:hAnsiTheme="minorHAnsi" w:cstheme="minorBidi"/>
                <w:sz w:val="28"/>
                <w:szCs w:val="28"/>
                <w:lang w:val="en-US" w:eastAsia="en-US"/>
              </w:rPr>
              <w:t>.</w:t>
            </w:r>
            <w:proofErr w:type="gramEnd"/>
            <w:r w:rsidRPr="00B407DF">
              <w:rPr>
                <w:rFonts w:asciiTheme="minorHAnsi" w:eastAsiaTheme="minorHAnsi" w:hAnsiTheme="minorHAnsi" w:cstheme="minorBidi"/>
                <w:sz w:val="28"/>
                <w:szCs w:val="28"/>
                <w:lang w:val="en-US" w:eastAsia="en-US"/>
              </w:rPr>
              <w:t xml:space="preserve">  Our culture has become more and more risk averse. When children are not offered appropriate opportunities to take risks and learn about the consequences of them, they become either fearful of risk and avoid it altogether or fail to </w:t>
            </w:r>
            <w:proofErr w:type="spellStart"/>
            <w:r w:rsidRPr="00B407DF">
              <w:rPr>
                <w:rFonts w:asciiTheme="minorHAnsi" w:eastAsiaTheme="minorHAnsi" w:hAnsiTheme="minorHAnsi" w:cstheme="minorBidi"/>
                <w:sz w:val="28"/>
                <w:szCs w:val="28"/>
                <w:lang w:val="en-US" w:eastAsia="en-US"/>
              </w:rPr>
              <w:t>recognise</w:t>
            </w:r>
            <w:proofErr w:type="spellEnd"/>
            <w:r w:rsidRPr="00B407DF">
              <w:rPr>
                <w:rFonts w:asciiTheme="minorHAnsi" w:eastAsiaTheme="minorHAnsi" w:hAnsiTheme="minorHAnsi" w:cstheme="minorBidi"/>
                <w:sz w:val="28"/>
                <w:szCs w:val="28"/>
                <w:lang w:val="en-US" w:eastAsia="en-US"/>
              </w:rPr>
              <w:t xml:space="preserve"> it when it needs to be managed. Managing your own exposure to risk is a life skill.   Forest School is a way of offering children risk-taking experiences in a supported learning environment.  </w:t>
            </w:r>
          </w:p>
        </w:tc>
      </w:tr>
      <w:tr w:rsidR="00C90B02" w:rsidTr="00C90B02">
        <w:tblPrEx>
          <w:tblCellMar>
            <w:top w:w="0" w:type="dxa"/>
            <w:bottom w:w="0" w:type="dxa"/>
          </w:tblCellMar>
        </w:tblPrEx>
        <w:trPr>
          <w:trHeight w:val="5385"/>
        </w:trPr>
        <w:tc>
          <w:tcPr>
            <w:tcW w:w="10260" w:type="dxa"/>
          </w:tcPr>
          <w:p w:rsidR="00C90B02" w:rsidRDefault="00C90B02" w:rsidP="00C90B02">
            <w:pPr>
              <w:tabs>
                <w:tab w:val="left" w:pos="2580"/>
              </w:tabs>
              <w:spacing w:after="160" w:line="259" w:lineRule="auto"/>
              <w:ind w:left="-34"/>
              <w:rPr>
                <w:rFonts w:asciiTheme="minorHAnsi" w:eastAsiaTheme="minorHAnsi" w:hAnsiTheme="minorHAnsi" w:cstheme="minorBidi"/>
                <w:b/>
                <w:sz w:val="36"/>
                <w:szCs w:val="36"/>
                <w:u w:val="single"/>
                <w:lang w:val="en-US" w:eastAsia="en-US"/>
              </w:rPr>
            </w:pPr>
            <w:r w:rsidRPr="00EC631D">
              <w:rPr>
                <w:rFonts w:asciiTheme="minorHAnsi" w:eastAsiaTheme="minorHAnsi" w:hAnsiTheme="minorHAnsi" w:cstheme="minorBidi"/>
                <w:b/>
                <w:sz w:val="36"/>
                <w:szCs w:val="36"/>
                <w:u w:val="single"/>
                <w:lang w:val="en-US" w:eastAsia="en-US"/>
              </w:rPr>
              <w:lastRenderedPageBreak/>
              <w:t>I</w:t>
            </w:r>
            <w:r>
              <w:rPr>
                <w:rFonts w:asciiTheme="minorHAnsi" w:eastAsiaTheme="minorHAnsi" w:hAnsiTheme="minorHAnsi" w:cstheme="minorBidi"/>
                <w:b/>
                <w:sz w:val="36"/>
                <w:szCs w:val="36"/>
                <w:u w:val="single"/>
                <w:lang w:val="en-US" w:eastAsia="en-US"/>
              </w:rPr>
              <w:t>mplementation</w:t>
            </w:r>
          </w:p>
          <w:p w:rsidR="00C90B02" w:rsidRDefault="00C90B02" w:rsidP="00C90B02">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 xml:space="preserve">Weekly planning for a group of children includes; </w:t>
            </w:r>
          </w:p>
          <w:p w:rsidR="00C90B02" w:rsidRPr="00A43762" w:rsidRDefault="00C90B02" w:rsidP="00C90B02">
            <w:pPr>
              <w:tabs>
                <w:tab w:val="left" w:pos="2580"/>
              </w:tabs>
              <w:spacing w:after="160" w:line="259" w:lineRule="auto"/>
              <w:ind w:left="-34"/>
              <w:rPr>
                <w:rFonts w:asciiTheme="minorHAnsi" w:eastAsiaTheme="minorHAnsi" w:hAnsiTheme="minorHAnsi" w:cstheme="minorBidi"/>
                <w:b/>
                <w:sz w:val="28"/>
                <w:szCs w:val="28"/>
                <w:u w:val="single"/>
                <w:lang w:val="en-US" w:eastAsia="en-US"/>
              </w:rPr>
            </w:pPr>
            <w:r w:rsidRPr="00C90B02">
              <w:rPr>
                <w:rFonts w:asciiTheme="minorHAnsi" w:eastAsiaTheme="minorHAnsi" w:hAnsiTheme="minorHAnsi" w:cstheme="minorBidi"/>
                <w:sz w:val="28"/>
                <w:szCs w:val="28"/>
                <w:lang w:val="en-US" w:eastAsia="en-US"/>
              </w:rPr>
              <w:t xml:space="preserve">• How to keep safe and respect boundaries • How to be part of a team (sharing snacks, working collaboratively and listening to each other • Learn about the environment, respect nature and enjoy being outdoors- develop a sense of awe and wonder • Take considered risks, try new things and know their abilities and limitations. • Further develop their Gross and Fine Motor Skills ( walking long distances, climbing trees, developing upper body strength, tying knots, whittling sticks, sawing, mark making…) • Solve problems and use </w:t>
            </w:r>
            <w:proofErr w:type="spellStart"/>
            <w:r>
              <w:rPr>
                <w:rFonts w:asciiTheme="minorHAnsi" w:eastAsiaTheme="minorHAnsi" w:hAnsiTheme="minorHAnsi" w:cstheme="minorBidi"/>
                <w:sz w:val="28"/>
                <w:szCs w:val="28"/>
                <w:lang w:val="en-US" w:eastAsia="en-US"/>
              </w:rPr>
              <w:t>M</w:t>
            </w:r>
            <w:r w:rsidRPr="00C90B02">
              <w:rPr>
                <w:rFonts w:asciiTheme="minorHAnsi" w:eastAsiaTheme="minorHAnsi" w:hAnsiTheme="minorHAnsi" w:cstheme="minorBidi"/>
                <w:sz w:val="28"/>
                <w:szCs w:val="28"/>
                <w:lang w:val="en-US" w:eastAsia="en-US"/>
              </w:rPr>
              <w:t>aths</w:t>
            </w:r>
            <w:proofErr w:type="spellEnd"/>
            <w:r w:rsidRPr="00C90B02">
              <w:rPr>
                <w:rFonts w:asciiTheme="minorHAnsi" w:eastAsiaTheme="minorHAnsi" w:hAnsiTheme="minorHAnsi" w:cstheme="minorBidi"/>
                <w:sz w:val="28"/>
                <w:szCs w:val="28"/>
                <w:lang w:val="en-US" w:eastAsia="en-US"/>
              </w:rPr>
              <w:t xml:space="preserve"> in a practical context (measuring, making patterns, counting, constructing shelters, building dens and swings.) • Use technology to explore the environment – camera, Go-Pro cameras, and iPads. • Extend their role-play and imagination using the natural surrounding and available artefacts • Feel secure and confident to explore and investigate</w:t>
            </w:r>
            <w:r>
              <w:rPr>
                <w:rFonts w:asciiTheme="minorHAnsi" w:eastAsiaTheme="minorHAnsi" w:hAnsiTheme="minorHAnsi" w:cstheme="minorBidi"/>
                <w:sz w:val="28"/>
                <w:szCs w:val="28"/>
                <w:lang w:val="en-US" w:eastAsia="en-US"/>
              </w:rPr>
              <w:t xml:space="preserve">. </w:t>
            </w:r>
          </w:p>
        </w:tc>
      </w:tr>
      <w:tr w:rsidR="00C90B02" w:rsidTr="00C90B02">
        <w:tblPrEx>
          <w:tblCellMar>
            <w:top w:w="0" w:type="dxa"/>
            <w:bottom w:w="0" w:type="dxa"/>
          </w:tblCellMar>
        </w:tblPrEx>
        <w:trPr>
          <w:trHeight w:val="5385"/>
        </w:trPr>
        <w:tc>
          <w:tcPr>
            <w:tcW w:w="10260" w:type="dxa"/>
          </w:tcPr>
          <w:p w:rsidR="00C90B02" w:rsidRDefault="00C90B02" w:rsidP="00C90B02">
            <w:pPr>
              <w:tabs>
                <w:tab w:val="left" w:pos="2580"/>
              </w:tabs>
              <w:spacing w:after="160" w:line="259" w:lineRule="auto"/>
              <w:ind w:left="-34"/>
              <w:rPr>
                <w:rFonts w:asciiTheme="minorHAnsi" w:eastAsiaTheme="minorHAnsi" w:hAnsiTheme="minorHAnsi" w:cstheme="minorBidi"/>
                <w:sz w:val="28"/>
                <w:szCs w:val="28"/>
                <w:lang w:val="en-US" w:eastAsia="en-US"/>
              </w:rPr>
            </w:pPr>
            <w:r w:rsidRPr="00EC631D">
              <w:rPr>
                <w:rFonts w:asciiTheme="minorHAnsi" w:eastAsiaTheme="minorHAnsi" w:hAnsiTheme="minorHAnsi" w:cstheme="minorBidi"/>
                <w:b/>
                <w:sz w:val="36"/>
                <w:szCs w:val="36"/>
                <w:u w:val="single"/>
                <w:lang w:val="en-US" w:eastAsia="en-US"/>
              </w:rPr>
              <w:lastRenderedPageBreak/>
              <w:t>I</w:t>
            </w:r>
            <w:r>
              <w:rPr>
                <w:rFonts w:asciiTheme="minorHAnsi" w:eastAsiaTheme="minorHAnsi" w:hAnsiTheme="minorHAnsi" w:cstheme="minorBidi"/>
                <w:b/>
                <w:sz w:val="36"/>
                <w:szCs w:val="36"/>
                <w:u w:val="single"/>
                <w:lang w:val="en-US" w:eastAsia="en-US"/>
              </w:rPr>
              <w:t>mp</w:t>
            </w:r>
            <w:r>
              <w:rPr>
                <w:rFonts w:asciiTheme="minorHAnsi" w:eastAsiaTheme="minorHAnsi" w:hAnsiTheme="minorHAnsi" w:cstheme="minorBidi"/>
                <w:b/>
                <w:sz w:val="36"/>
                <w:szCs w:val="36"/>
                <w:u w:val="single"/>
                <w:lang w:val="en-US" w:eastAsia="en-US"/>
              </w:rPr>
              <w:t>act 2018-2019</w:t>
            </w:r>
            <w:r w:rsidRPr="00B407DF">
              <w:rPr>
                <w:rFonts w:asciiTheme="minorHAnsi" w:eastAsiaTheme="minorHAnsi" w:hAnsiTheme="minorHAnsi" w:cstheme="minorBidi"/>
                <w:sz w:val="28"/>
                <w:szCs w:val="28"/>
                <w:lang w:val="en-US" w:eastAsia="en-US"/>
              </w:rPr>
              <w:t xml:space="preserve"> </w:t>
            </w:r>
          </w:p>
          <w:p w:rsidR="00815EC8" w:rsidRDefault="00C90B02" w:rsidP="00815EC8">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At both nurseries,</w:t>
            </w:r>
            <w:r w:rsidRPr="00B407DF">
              <w:rPr>
                <w:rFonts w:asciiTheme="minorHAnsi" w:eastAsiaTheme="minorHAnsi" w:hAnsiTheme="minorHAnsi" w:cstheme="minorBidi"/>
                <w:sz w:val="28"/>
                <w:szCs w:val="28"/>
                <w:lang w:val="en-US" w:eastAsia="en-US"/>
              </w:rPr>
              <w:t xml:space="preserve"> </w:t>
            </w:r>
            <w:r>
              <w:rPr>
                <w:rFonts w:asciiTheme="minorHAnsi" w:eastAsiaTheme="minorHAnsi" w:hAnsiTheme="minorHAnsi" w:cstheme="minorBidi"/>
                <w:sz w:val="28"/>
                <w:szCs w:val="28"/>
                <w:lang w:val="en-US" w:eastAsia="en-US"/>
              </w:rPr>
              <w:t xml:space="preserve">100% of </w:t>
            </w:r>
            <w:r w:rsidRPr="00B407DF">
              <w:rPr>
                <w:rFonts w:asciiTheme="minorHAnsi" w:eastAsiaTheme="minorHAnsi" w:hAnsiTheme="minorHAnsi" w:cstheme="minorBidi"/>
                <w:sz w:val="28"/>
                <w:szCs w:val="28"/>
                <w:lang w:val="en-US" w:eastAsia="en-US"/>
              </w:rPr>
              <w:t>our EYPP pupils made good progress or more in the 7 areas of learning in the EYFS, from their respective starting points</w:t>
            </w:r>
            <w:r>
              <w:rPr>
                <w:rFonts w:asciiTheme="minorHAnsi" w:eastAsiaTheme="minorHAnsi" w:hAnsiTheme="minorHAnsi" w:cstheme="minorBidi"/>
                <w:sz w:val="28"/>
                <w:szCs w:val="28"/>
                <w:lang w:val="en-US" w:eastAsia="en-US"/>
              </w:rPr>
              <w:t xml:space="preserve">. This was measured using Quantitative data against the Development Matters document of tracking. </w:t>
            </w:r>
            <w:r w:rsidR="00815EC8">
              <w:rPr>
                <w:rFonts w:asciiTheme="minorHAnsi" w:eastAsiaTheme="minorHAnsi" w:hAnsiTheme="minorHAnsi" w:cstheme="minorBidi"/>
                <w:sz w:val="28"/>
                <w:szCs w:val="28"/>
                <w:lang w:val="en-US" w:eastAsia="en-US"/>
              </w:rPr>
              <w:t xml:space="preserve">Qualitative data as evidenced by the children’s learning journey profiles which measure formative observational assessment. </w:t>
            </w:r>
          </w:p>
          <w:p w:rsidR="00815EC8" w:rsidRDefault="00815EC8" w:rsidP="00815EC8">
            <w:pPr>
              <w:tabs>
                <w:tab w:val="left" w:pos="2580"/>
              </w:tabs>
              <w:spacing w:after="160" w:line="259" w:lineRule="auto"/>
              <w:ind w:left="-34"/>
              <w:rPr>
                <w:rFonts w:asciiTheme="minorHAnsi" w:eastAsiaTheme="minorHAnsi" w:hAnsiTheme="minorHAnsi" w:cstheme="minorBidi"/>
                <w:sz w:val="28"/>
                <w:szCs w:val="28"/>
                <w:lang w:val="en-US" w:eastAsia="en-US"/>
              </w:rPr>
            </w:pPr>
            <w:r w:rsidRPr="00EC631D">
              <w:rPr>
                <w:rFonts w:asciiTheme="minorHAnsi" w:eastAsiaTheme="minorHAnsi" w:hAnsiTheme="minorHAnsi" w:cstheme="minorBidi"/>
                <w:b/>
                <w:sz w:val="36"/>
                <w:szCs w:val="36"/>
                <w:u w:val="single"/>
                <w:lang w:val="en-US" w:eastAsia="en-US"/>
              </w:rPr>
              <w:t>I</w:t>
            </w:r>
            <w:r>
              <w:rPr>
                <w:rFonts w:asciiTheme="minorHAnsi" w:eastAsiaTheme="minorHAnsi" w:hAnsiTheme="minorHAnsi" w:cstheme="minorBidi"/>
                <w:b/>
                <w:sz w:val="36"/>
                <w:szCs w:val="36"/>
                <w:u w:val="single"/>
                <w:lang w:val="en-US" w:eastAsia="en-US"/>
              </w:rPr>
              <w:t>mpact 201</w:t>
            </w:r>
            <w:r>
              <w:rPr>
                <w:rFonts w:asciiTheme="minorHAnsi" w:eastAsiaTheme="minorHAnsi" w:hAnsiTheme="minorHAnsi" w:cstheme="minorBidi"/>
                <w:b/>
                <w:sz w:val="36"/>
                <w:szCs w:val="36"/>
                <w:u w:val="single"/>
                <w:lang w:val="en-US" w:eastAsia="en-US"/>
              </w:rPr>
              <w:t>9</w:t>
            </w:r>
            <w:r>
              <w:rPr>
                <w:rFonts w:asciiTheme="minorHAnsi" w:eastAsiaTheme="minorHAnsi" w:hAnsiTheme="minorHAnsi" w:cstheme="minorBidi"/>
                <w:b/>
                <w:sz w:val="36"/>
                <w:szCs w:val="36"/>
                <w:u w:val="single"/>
                <w:lang w:val="en-US" w:eastAsia="en-US"/>
              </w:rPr>
              <w:t>-20</w:t>
            </w:r>
            <w:r>
              <w:rPr>
                <w:rFonts w:asciiTheme="minorHAnsi" w:eastAsiaTheme="minorHAnsi" w:hAnsiTheme="minorHAnsi" w:cstheme="minorBidi"/>
                <w:b/>
                <w:sz w:val="36"/>
                <w:szCs w:val="36"/>
                <w:u w:val="single"/>
                <w:lang w:val="en-US" w:eastAsia="en-US"/>
              </w:rPr>
              <w:t>20</w:t>
            </w:r>
            <w:r>
              <w:rPr>
                <w:rFonts w:asciiTheme="minorHAnsi" w:eastAsiaTheme="minorHAnsi" w:hAnsiTheme="minorHAnsi" w:cstheme="minorBidi"/>
                <w:sz w:val="28"/>
                <w:szCs w:val="28"/>
                <w:lang w:val="en-US" w:eastAsia="en-US"/>
              </w:rPr>
              <w:t xml:space="preserve"> </w:t>
            </w:r>
          </w:p>
          <w:p w:rsidR="00C90B02" w:rsidRDefault="00815EC8" w:rsidP="00815EC8">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At both nurseries,</w:t>
            </w:r>
            <w:r w:rsidRPr="00B407DF">
              <w:rPr>
                <w:rFonts w:asciiTheme="minorHAnsi" w:eastAsiaTheme="minorHAnsi" w:hAnsiTheme="minorHAnsi" w:cstheme="minorBidi"/>
                <w:sz w:val="28"/>
                <w:szCs w:val="28"/>
                <w:lang w:val="en-US" w:eastAsia="en-US"/>
              </w:rPr>
              <w:t xml:space="preserve"> </w:t>
            </w:r>
            <w:r>
              <w:rPr>
                <w:rFonts w:asciiTheme="minorHAnsi" w:eastAsiaTheme="minorHAnsi" w:hAnsiTheme="minorHAnsi" w:cstheme="minorBidi"/>
                <w:sz w:val="28"/>
                <w:szCs w:val="28"/>
                <w:lang w:val="en-US" w:eastAsia="en-US"/>
              </w:rPr>
              <w:t xml:space="preserve">100% of </w:t>
            </w:r>
            <w:r w:rsidRPr="00B407DF">
              <w:rPr>
                <w:rFonts w:asciiTheme="minorHAnsi" w:eastAsiaTheme="minorHAnsi" w:hAnsiTheme="minorHAnsi" w:cstheme="minorBidi"/>
                <w:sz w:val="28"/>
                <w:szCs w:val="28"/>
                <w:lang w:val="en-US" w:eastAsia="en-US"/>
              </w:rPr>
              <w:t>our EYPP pupils</w:t>
            </w:r>
            <w:r>
              <w:rPr>
                <w:rFonts w:asciiTheme="minorHAnsi" w:eastAsiaTheme="minorHAnsi" w:hAnsiTheme="minorHAnsi" w:cstheme="minorBidi"/>
                <w:sz w:val="28"/>
                <w:szCs w:val="28"/>
                <w:lang w:val="en-US" w:eastAsia="en-US"/>
              </w:rPr>
              <w:t>, in the Autumn and Spring Term</w:t>
            </w:r>
            <w:proofErr w:type="gramStart"/>
            <w:r>
              <w:rPr>
                <w:rFonts w:asciiTheme="minorHAnsi" w:eastAsiaTheme="minorHAnsi" w:hAnsiTheme="minorHAnsi" w:cstheme="minorBidi"/>
                <w:sz w:val="28"/>
                <w:szCs w:val="28"/>
                <w:lang w:val="en-US" w:eastAsia="en-US"/>
              </w:rPr>
              <w:t xml:space="preserve">, </w:t>
            </w:r>
            <w:r w:rsidRPr="00B407DF">
              <w:rPr>
                <w:rFonts w:asciiTheme="minorHAnsi" w:eastAsiaTheme="minorHAnsi" w:hAnsiTheme="minorHAnsi" w:cstheme="minorBidi"/>
                <w:sz w:val="28"/>
                <w:szCs w:val="28"/>
                <w:lang w:val="en-US" w:eastAsia="en-US"/>
              </w:rPr>
              <w:t xml:space="preserve"> made</w:t>
            </w:r>
            <w:proofErr w:type="gramEnd"/>
            <w:r w:rsidRPr="00B407DF">
              <w:rPr>
                <w:rFonts w:asciiTheme="minorHAnsi" w:eastAsiaTheme="minorHAnsi" w:hAnsiTheme="minorHAnsi" w:cstheme="minorBidi"/>
                <w:sz w:val="28"/>
                <w:szCs w:val="28"/>
                <w:lang w:val="en-US" w:eastAsia="en-US"/>
              </w:rPr>
              <w:t xml:space="preserve"> good progress or more in the 7 areas of learning in the EYFS, from their respective starting points</w:t>
            </w:r>
            <w:r>
              <w:rPr>
                <w:rFonts w:asciiTheme="minorHAnsi" w:eastAsiaTheme="minorHAnsi" w:hAnsiTheme="minorHAnsi" w:cstheme="minorBidi"/>
                <w:sz w:val="28"/>
                <w:szCs w:val="28"/>
                <w:lang w:val="en-US" w:eastAsia="en-US"/>
              </w:rPr>
              <w:t>. This was measured using Quantitative data against the Development Matters document of tracking</w:t>
            </w:r>
            <w:r>
              <w:rPr>
                <w:rFonts w:asciiTheme="minorHAnsi" w:eastAsiaTheme="minorHAnsi" w:hAnsiTheme="minorHAnsi" w:cstheme="minorBidi"/>
                <w:sz w:val="28"/>
                <w:szCs w:val="28"/>
                <w:lang w:val="en-US" w:eastAsia="en-US"/>
              </w:rPr>
              <w:t xml:space="preserve">, using a new system </w:t>
            </w:r>
            <w:proofErr w:type="gramStart"/>
            <w:r>
              <w:rPr>
                <w:rFonts w:asciiTheme="minorHAnsi" w:eastAsiaTheme="minorHAnsi" w:hAnsiTheme="minorHAnsi" w:cstheme="minorBidi"/>
                <w:sz w:val="28"/>
                <w:szCs w:val="28"/>
                <w:lang w:val="en-US" w:eastAsia="en-US"/>
              </w:rPr>
              <w:t>( EXATT</w:t>
            </w:r>
            <w:proofErr w:type="gramEnd"/>
            <w:r>
              <w:rPr>
                <w:rFonts w:asciiTheme="minorHAnsi" w:eastAsiaTheme="minorHAnsi" w:hAnsiTheme="minorHAnsi" w:cstheme="minorBidi"/>
                <w:sz w:val="28"/>
                <w:szCs w:val="28"/>
                <w:lang w:val="en-US" w:eastAsia="en-US"/>
              </w:rPr>
              <w:t xml:space="preserve">) , which allowed tighter measurement of progress as it measures in 3 monthly sections. </w:t>
            </w:r>
            <w:r>
              <w:rPr>
                <w:rFonts w:asciiTheme="minorHAnsi" w:eastAsiaTheme="minorHAnsi" w:hAnsiTheme="minorHAnsi" w:cstheme="minorBidi"/>
                <w:sz w:val="28"/>
                <w:szCs w:val="28"/>
                <w:lang w:val="en-US" w:eastAsia="en-US"/>
              </w:rPr>
              <w:t>Qualitative data as evidenced by the children’s learning journey profiles which measure formative observational assessment.</w:t>
            </w:r>
            <w:r>
              <w:rPr>
                <w:rFonts w:asciiTheme="minorHAnsi" w:eastAsiaTheme="minorHAnsi" w:hAnsiTheme="minorHAnsi" w:cstheme="minorBidi"/>
                <w:sz w:val="28"/>
                <w:szCs w:val="28"/>
                <w:lang w:val="en-US" w:eastAsia="en-US"/>
              </w:rPr>
              <w:t xml:space="preserve"> It should be noted that this academic year was interrupted on March 23</w:t>
            </w:r>
            <w:r w:rsidRPr="00815EC8">
              <w:rPr>
                <w:rFonts w:asciiTheme="minorHAnsi" w:eastAsiaTheme="minorHAnsi" w:hAnsiTheme="minorHAnsi" w:cstheme="minorBidi"/>
                <w:sz w:val="28"/>
                <w:szCs w:val="28"/>
                <w:vertAlign w:val="superscript"/>
                <w:lang w:val="en-US" w:eastAsia="en-US"/>
              </w:rPr>
              <w:t>rd</w:t>
            </w:r>
            <w:r>
              <w:rPr>
                <w:rFonts w:asciiTheme="minorHAnsi" w:eastAsiaTheme="minorHAnsi" w:hAnsiTheme="minorHAnsi" w:cstheme="minorBidi"/>
                <w:sz w:val="28"/>
                <w:szCs w:val="28"/>
                <w:lang w:val="en-US" w:eastAsia="en-US"/>
              </w:rPr>
              <w:t xml:space="preserve"> by a national lockdown due to </w:t>
            </w:r>
            <w:proofErr w:type="spellStart"/>
            <w:r>
              <w:rPr>
                <w:rFonts w:asciiTheme="minorHAnsi" w:eastAsiaTheme="minorHAnsi" w:hAnsiTheme="minorHAnsi" w:cstheme="minorBidi"/>
                <w:sz w:val="28"/>
                <w:szCs w:val="28"/>
                <w:lang w:val="en-US" w:eastAsia="en-US"/>
              </w:rPr>
              <w:t>covid</w:t>
            </w:r>
            <w:proofErr w:type="spellEnd"/>
            <w:r>
              <w:rPr>
                <w:rFonts w:asciiTheme="minorHAnsi" w:eastAsiaTheme="minorHAnsi" w:hAnsiTheme="minorHAnsi" w:cstheme="minorBidi"/>
                <w:sz w:val="28"/>
                <w:szCs w:val="28"/>
                <w:lang w:val="en-US" w:eastAsia="en-US"/>
              </w:rPr>
              <w:t xml:space="preserve"> -19. </w:t>
            </w:r>
          </w:p>
          <w:p w:rsidR="00815EC8" w:rsidRDefault="00815EC8" w:rsidP="00815EC8">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 xml:space="preserve">Both nurseries, supported by a local primary </w:t>
            </w:r>
            <w:proofErr w:type="gramStart"/>
            <w:r>
              <w:rPr>
                <w:rFonts w:asciiTheme="minorHAnsi" w:eastAsiaTheme="minorHAnsi" w:hAnsiTheme="minorHAnsi" w:cstheme="minorBidi"/>
                <w:sz w:val="28"/>
                <w:szCs w:val="28"/>
                <w:lang w:val="en-US" w:eastAsia="en-US"/>
              </w:rPr>
              <w:t>school(</w:t>
            </w:r>
            <w:proofErr w:type="gramEnd"/>
            <w:r>
              <w:rPr>
                <w:rFonts w:asciiTheme="minorHAnsi" w:eastAsiaTheme="minorHAnsi" w:hAnsiTheme="minorHAnsi" w:cstheme="minorBidi"/>
                <w:sz w:val="28"/>
                <w:szCs w:val="28"/>
                <w:lang w:val="en-US" w:eastAsia="en-US"/>
              </w:rPr>
              <w:t xml:space="preserve"> Queens Park Primary School) continued to support children of key workers  and  vulnerable children, identified under criteria of PP, FSM and safeguarding.</w:t>
            </w:r>
          </w:p>
          <w:p w:rsidR="004B37D3" w:rsidRDefault="00815EC8" w:rsidP="00815EC8">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 xml:space="preserve">Forest school was cancelled in the Summer term and a Mental Health/ Wellbeing curriculum was put in place for EYPP children. </w:t>
            </w:r>
            <w:r w:rsidR="004B37D3">
              <w:rPr>
                <w:rFonts w:asciiTheme="minorHAnsi" w:eastAsiaTheme="minorHAnsi" w:hAnsiTheme="minorHAnsi" w:cstheme="minorBidi"/>
                <w:sz w:val="28"/>
                <w:szCs w:val="28"/>
                <w:lang w:val="en-US" w:eastAsia="en-US"/>
              </w:rPr>
              <w:t xml:space="preserve">PP children attended the provision FT and parents supported by daily hot meals for their children and a foodbank. </w:t>
            </w:r>
          </w:p>
          <w:p w:rsidR="008F18DF" w:rsidRDefault="004B37D3" w:rsidP="00815EC8">
            <w:pPr>
              <w:tabs>
                <w:tab w:val="left" w:pos="2580"/>
              </w:tabs>
              <w:spacing w:after="160" w:line="259" w:lineRule="auto"/>
              <w:ind w:left="-34"/>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Summer term Impact for PP pupils. It was decided to measure impact in this very specific event</w:t>
            </w:r>
            <w:r w:rsidR="008F18DF">
              <w:rPr>
                <w:rFonts w:asciiTheme="minorHAnsi" w:eastAsiaTheme="minorHAnsi" w:hAnsiTheme="minorHAnsi" w:cstheme="minorBidi"/>
                <w:sz w:val="28"/>
                <w:szCs w:val="28"/>
                <w:lang w:val="en-US" w:eastAsia="en-US"/>
              </w:rPr>
              <w:t>,</w:t>
            </w:r>
            <w:r>
              <w:rPr>
                <w:rFonts w:asciiTheme="minorHAnsi" w:eastAsiaTheme="minorHAnsi" w:hAnsiTheme="minorHAnsi" w:cstheme="minorBidi"/>
                <w:sz w:val="28"/>
                <w:szCs w:val="28"/>
                <w:lang w:val="en-US" w:eastAsia="en-US"/>
              </w:rPr>
              <w:t xml:space="preserve"> using </w:t>
            </w:r>
            <w:proofErr w:type="spellStart"/>
            <w:r>
              <w:rPr>
                <w:rFonts w:asciiTheme="minorHAnsi" w:eastAsiaTheme="minorHAnsi" w:hAnsiTheme="minorHAnsi" w:cstheme="minorBidi"/>
                <w:sz w:val="28"/>
                <w:szCs w:val="28"/>
                <w:lang w:val="en-US" w:eastAsia="en-US"/>
              </w:rPr>
              <w:t>Leuvens</w:t>
            </w:r>
            <w:proofErr w:type="spellEnd"/>
            <w:r>
              <w:rPr>
                <w:rFonts w:asciiTheme="minorHAnsi" w:eastAsiaTheme="minorHAnsi" w:hAnsiTheme="minorHAnsi" w:cstheme="minorBidi"/>
                <w:sz w:val="28"/>
                <w:szCs w:val="28"/>
                <w:lang w:val="en-US" w:eastAsia="en-US"/>
              </w:rPr>
              <w:t xml:space="preserve"> Scale of Wellbeing</w:t>
            </w:r>
            <w:r w:rsidR="008F18DF">
              <w:rPr>
                <w:rFonts w:asciiTheme="minorHAnsi" w:eastAsiaTheme="minorHAnsi" w:hAnsiTheme="minorHAnsi" w:cstheme="minorBidi"/>
                <w:sz w:val="28"/>
                <w:szCs w:val="28"/>
                <w:lang w:val="en-US" w:eastAsia="en-US"/>
              </w:rPr>
              <w:t xml:space="preserve">. </w:t>
            </w:r>
            <w:r w:rsidR="003835AB">
              <w:rPr>
                <w:rFonts w:asciiTheme="minorHAnsi" w:eastAsiaTheme="minorHAnsi" w:hAnsiTheme="minorHAnsi" w:cstheme="minorBidi"/>
                <w:sz w:val="28"/>
                <w:szCs w:val="28"/>
                <w:lang w:val="en-US" w:eastAsia="en-US"/>
              </w:rPr>
              <w:t xml:space="preserve">The hub was kept open throughout all holidays. PP children received 16 weeks of support. </w:t>
            </w:r>
          </w:p>
          <w:tbl>
            <w:tblPr>
              <w:tblStyle w:val="TableGrid"/>
              <w:tblW w:w="0" w:type="auto"/>
              <w:tblLook w:val="04A0" w:firstRow="1" w:lastRow="0" w:firstColumn="1" w:lastColumn="0" w:noHBand="0" w:noVBand="1"/>
            </w:tblPr>
            <w:tblGrid>
              <w:gridCol w:w="1959"/>
              <w:gridCol w:w="701"/>
              <w:gridCol w:w="700"/>
              <w:gridCol w:w="748"/>
              <w:gridCol w:w="700"/>
              <w:gridCol w:w="722"/>
              <w:gridCol w:w="665"/>
              <w:gridCol w:w="527"/>
              <w:gridCol w:w="734"/>
              <w:gridCol w:w="700"/>
              <w:gridCol w:w="478"/>
              <w:gridCol w:w="700"/>
              <w:gridCol w:w="700"/>
            </w:tblGrid>
            <w:tr w:rsidR="003835AB" w:rsidTr="003835AB">
              <w:tc>
                <w:tcPr>
                  <w:tcW w:w="1964" w:type="dxa"/>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p>
              </w:tc>
              <w:tc>
                <w:tcPr>
                  <w:tcW w:w="2157" w:type="dxa"/>
                  <w:gridSpan w:val="3"/>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 xml:space="preserve">April 20 </w:t>
                  </w:r>
                </w:p>
              </w:tc>
              <w:tc>
                <w:tcPr>
                  <w:tcW w:w="2094" w:type="dxa"/>
                  <w:gridSpan w:val="3"/>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May 20</w:t>
                  </w:r>
                </w:p>
              </w:tc>
              <w:tc>
                <w:tcPr>
                  <w:tcW w:w="1967" w:type="dxa"/>
                  <w:gridSpan w:val="3"/>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June 20</w:t>
                  </w:r>
                </w:p>
              </w:tc>
              <w:tc>
                <w:tcPr>
                  <w:tcW w:w="1852" w:type="dxa"/>
                  <w:gridSpan w:val="3"/>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July 20</w:t>
                  </w:r>
                </w:p>
              </w:tc>
            </w:tr>
            <w:tr w:rsidR="003835AB" w:rsidTr="003835AB">
              <w:tc>
                <w:tcPr>
                  <w:tcW w:w="1964" w:type="dxa"/>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Involvement</w:t>
                  </w:r>
                </w:p>
              </w:tc>
              <w:tc>
                <w:tcPr>
                  <w:tcW w:w="701"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60%</w:t>
                  </w:r>
                </w:p>
              </w:tc>
              <w:tc>
                <w:tcPr>
                  <w:tcW w:w="700"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40%</w:t>
                  </w:r>
                </w:p>
              </w:tc>
              <w:tc>
                <w:tcPr>
                  <w:tcW w:w="756"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700"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50</w:t>
                  </w:r>
                  <w:r>
                    <w:rPr>
                      <w:rFonts w:asciiTheme="minorHAnsi" w:eastAsiaTheme="minorHAnsi" w:hAnsiTheme="minorHAnsi" w:cstheme="minorBidi"/>
                      <w:sz w:val="28"/>
                      <w:szCs w:val="28"/>
                      <w:lang w:val="en-US" w:eastAsia="en-US"/>
                    </w:rPr>
                    <w:t>%</w:t>
                  </w:r>
                </w:p>
              </w:tc>
              <w:tc>
                <w:tcPr>
                  <w:tcW w:w="722"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50</w:t>
                  </w:r>
                  <w:r>
                    <w:rPr>
                      <w:rFonts w:asciiTheme="minorHAnsi" w:eastAsiaTheme="minorHAnsi" w:hAnsiTheme="minorHAnsi" w:cstheme="minorBidi"/>
                      <w:sz w:val="28"/>
                      <w:szCs w:val="28"/>
                      <w:lang w:val="en-US" w:eastAsia="en-US"/>
                    </w:rPr>
                    <w:t>%</w:t>
                  </w:r>
                </w:p>
              </w:tc>
              <w:tc>
                <w:tcPr>
                  <w:tcW w:w="672"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532"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735"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10%</w:t>
                  </w:r>
                </w:p>
              </w:tc>
              <w:tc>
                <w:tcPr>
                  <w:tcW w:w="700"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90%</w:t>
                  </w:r>
                </w:p>
              </w:tc>
              <w:tc>
                <w:tcPr>
                  <w:tcW w:w="482"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675"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10%</w:t>
                  </w:r>
                </w:p>
              </w:tc>
              <w:tc>
                <w:tcPr>
                  <w:tcW w:w="695"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90%</w:t>
                  </w:r>
                </w:p>
              </w:tc>
            </w:tr>
            <w:tr w:rsidR="003835AB" w:rsidTr="003835AB">
              <w:tc>
                <w:tcPr>
                  <w:tcW w:w="1964" w:type="dxa"/>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Emotional Wellbeing</w:t>
                  </w:r>
                </w:p>
              </w:tc>
              <w:tc>
                <w:tcPr>
                  <w:tcW w:w="701"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60%</w:t>
                  </w:r>
                </w:p>
              </w:tc>
              <w:tc>
                <w:tcPr>
                  <w:tcW w:w="700"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40%</w:t>
                  </w:r>
                </w:p>
              </w:tc>
              <w:tc>
                <w:tcPr>
                  <w:tcW w:w="756"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700"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60%</w:t>
                  </w:r>
                </w:p>
              </w:tc>
              <w:tc>
                <w:tcPr>
                  <w:tcW w:w="722"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40%</w:t>
                  </w:r>
                </w:p>
              </w:tc>
              <w:tc>
                <w:tcPr>
                  <w:tcW w:w="672"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532"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735"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10%</w:t>
                  </w:r>
                </w:p>
              </w:tc>
              <w:tc>
                <w:tcPr>
                  <w:tcW w:w="700"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90%</w:t>
                  </w:r>
                </w:p>
              </w:tc>
              <w:tc>
                <w:tcPr>
                  <w:tcW w:w="482" w:type="dxa"/>
                  <w:shd w:val="clear" w:color="auto" w:fill="FFC00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p>
              </w:tc>
              <w:tc>
                <w:tcPr>
                  <w:tcW w:w="675" w:type="dxa"/>
                  <w:shd w:val="clear" w:color="auto" w:fill="00B0F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10%</w:t>
                  </w:r>
                </w:p>
              </w:tc>
              <w:tc>
                <w:tcPr>
                  <w:tcW w:w="695" w:type="dxa"/>
                  <w:shd w:val="clear" w:color="auto" w:fill="92D050"/>
                </w:tcPr>
                <w:p w:rsidR="003835AB" w:rsidRDefault="003835AB" w:rsidP="003835AB">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90%</w:t>
                  </w:r>
                </w:p>
              </w:tc>
            </w:tr>
          </w:tbl>
          <w:p w:rsidR="008F18DF" w:rsidRDefault="008F18DF" w:rsidP="00815EC8">
            <w:pPr>
              <w:tabs>
                <w:tab w:val="left" w:pos="2580"/>
              </w:tabs>
              <w:spacing w:after="160" w:line="259" w:lineRule="auto"/>
              <w:ind w:left="-34"/>
              <w:rPr>
                <w:rFonts w:asciiTheme="minorHAnsi" w:eastAsiaTheme="minorHAnsi" w:hAnsiTheme="minorHAnsi" w:cstheme="minorBidi"/>
                <w:sz w:val="28"/>
                <w:szCs w:val="28"/>
                <w:lang w:val="en-US" w:eastAsia="en-US"/>
              </w:rPr>
            </w:pPr>
          </w:p>
          <w:tbl>
            <w:tblPr>
              <w:tblpPr w:leftFromText="180" w:rightFromText="180" w:vertAnchor="text" w:horzAnchor="page" w:tblpX="205"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1177"/>
              <w:gridCol w:w="1046"/>
            </w:tblGrid>
            <w:tr w:rsidR="008F18DF" w:rsidTr="008F18DF">
              <w:tblPrEx>
                <w:tblCellMar>
                  <w:top w:w="0" w:type="dxa"/>
                  <w:bottom w:w="0" w:type="dxa"/>
                </w:tblCellMar>
              </w:tblPrEx>
              <w:trPr>
                <w:trHeight w:val="408"/>
              </w:trPr>
              <w:tc>
                <w:tcPr>
                  <w:tcW w:w="910" w:type="dxa"/>
                  <w:shd w:val="clear" w:color="auto" w:fill="FFC000"/>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Low</w:t>
                  </w:r>
                </w:p>
              </w:tc>
              <w:tc>
                <w:tcPr>
                  <w:tcW w:w="883" w:type="dxa"/>
                  <w:shd w:val="clear" w:color="auto" w:fill="00B0F0"/>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Medium</w:t>
                  </w:r>
                </w:p>
              </w:tc>
              <w:tc>
                <w:tcPr>
                  <w:tcW w:w="1046" w:type="dxa"/>
                  <w:shd w:val="clear" w:color="auto" w:fill="92D050"/>
                </w:tcPr>
                <w:p w:rsidR="008F18DF" w:rsidRDefault="008F18DF" w:rsidP="00815EC8">
                  <w:pPr>
                    <w:tabs>
                      <w:tab w:val="left" w:pos="2580"/>
                    </w:tabs>
                    <w:spacing w:after="160" w:line="259" w:lineRule="auto"/>
                    <w:rPr>
                      <w:rFonts w:asciiTheme="minorHAnsi" w:eastAsiaTheme="minorHAnsi" w:hAnsiTheme="minorHAnsi" w:cstheme="minorBidi"/>
                      <w:sz w:val="28"/>
                      <w:szCs w:val="28"/>
                      <w:lang w:val="en-US" w:eastAsia="en-US"/>
                    </w:rPr>
                  </w:pPr>
                  <w:r>
                    <w:rPr>
                      <w:rFonts w:asciiTheme="minorHAnsi" w:eastAsiaTheme="minorHAnsi" w:hAnsiTheme="minorHAnsi" w:cstheme="minorBidi"/>
                      <w:sz w:val="28"/>
                      <w:szCs w:val="28"/>
                      <w:lang w:val="en-US" w:eastAsia="en-US"/>
                    </w:rPr>
                    <w:t>Green</w:t>
                  </w:r>
                </w:p>
              </w:tc>
            </w:tr>
          </w:tbl>
          <w:p w:rsidR="00815EC8" w:rsidRPr="00EC631D" w:rsidRDefault="003835AB" w:rsidP="003835AB">
            <w:pPr>
              <w:tabs>
                <w:tab w:val="left" w:pos="2580"/>
              </w:tabs>
              <w:spacing w:after="160" w:line="259" w:lineRule="auto"/>
              <w:ind w:left="-34"/>
              <w:rPr>
                <w:rFonts w:asciiTheme="minorHAnsi" w:eastAsiaTheme="minorHAnsi" w:hAnsiTheme="minorHAnsi" w:cstheme="minorBidi"/>
                <w:b/>
                <w:sz w:val="36"/>
                <w:szCs w:val="36"/>
                <w:u w:val="single"/>
                <w:lang w:val="en-US" w:eastAsia="en-US"/>
              </w:rPr>
            </w:pPr>
            <w:r>
              <w:rPr>
                <w:rFonts w:asciiTheme="minorHAnsi" w:eastAsiaTheme="minorHAnsi" w:hAnsiTheme="minorHAnsi" w:cstheme="minorBidi"/>
                <w:sz w:val="28"/>
                <w:szCs w:val="28"/>
                <w:lang w:val="en-US" w:eastAsia="en-US"/>
              </w:rPr>
              <w:lastRenderedPageBreak/>
              <w:t xml:space="preserve">Analysis: all PP children benefited enormously in their wellbeing with the attendance at the Hub during lockdown. 10% represents two children, both SEND, both who presented as very low on </w:t>
            </w:r>
            <w:proofErr w:type="gramStart"/>
            <w:r>
              <w:rPr>
                <w:rFonts w:asciiTheme="minorHAnsi" w:eastAsiaTheme="minorHAnsi" w:hAnsiTheme="minorHAnsi" w:cstheme="minorBidi"/>
                <w:sz w:val="28"/>
                <w:szCs w:val="28"/>
                <w:lang w:val="en-US" w:eastAsia="en-US"/>
              </w:rPr>
              <w:t>scale  at</w:t>
            </w:r>
            <w:proofErr w:type="gramEnd"/>
            <w:r>
              <w:rPr>
                <w:rFonts w:asciiTheme="minorHAnsi" w:eastAsiaTheme="minorHAnsi" w:hAnsiTheme="minorHAnsi" w:cstheme="minorBidi"/>
                <w:sz w:val="28"/>
                <w:szCs w:val="28"/>
                <w:lang w:val="en-US" w:eastAsia="en-US"/>
              </w:rPr>
              <w:t xml:space="preserve"> the start of lockdown and at the end of July were firmly in the medium to high scale.</w:t>
            </w:r>
          </w:p>
        </w:tc>
      </w:tr>
      <w:tr w:rsidR="00C90B02" w:rsidTr="00C90B02">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0260" w:type="dxa"/>
          </w:tcPr>
          <w:p w:rsidR="00C90B02" w:rsidRDefault="00C90B02" w:rsidP="00C90B02">
            <w:pPr>
              <w:tabs>
                <w:tab w:val="left" w:pos="2580"/>
              </w:tabs>
              <w:spacing w:after="160" w:line="259" w:lineRule="auto"/>
              <w:rPr>
                <w:rFonts w:asciiTheme="minorHAnsi" w:eastAsiaTheme="minorHAnsi" w:hAnsiTheme="minorHAnsi" w:cstheme="minorBidi"/>
                <w:b/>
                <w:sz w:val="28"/>
                <w:szCs w:val="28"/>
                <w:u w:val="single"/>
                <w:lang w:val="en-US" w:eastAsia="en-US"/>
              </w:rPr>
            </w:pPr>
          </w:p>
          <w:p w:rsidR="00C90B02" w:rsidRDefault="00C90B02" w:rsidP="00C90B02">
            <w:pPr>
              <w:tabs>
                <w:tab w:val="left" w:pos="2580"/>
              </w:tabs>
              <w:spacing w:after="160" w:line="259" w:lineRule="auto"/>
              <w:rPr>
                <w:rFonts w:asciiTheme="minorHAnsi" w:eastAsiaTheme="minorHAnsi" w:hAnsiTheme="minorHAnsi" w:cstheme="minorBidi"/>
                <w:b/>
                <w:sz w:val="28"/>
                <w:szCs w:val="28"/>
                <w:u w:val="single"/>
                <w:lang w:val="en-US" w:eastAsia="en-US"/>
              </w:rPr>
            </w:pPr>
          </w:p>
        </w:tc>
      </w:tr>
      <w:tr w:rsidR="00C90B02" w:rsidTr="00C90B02">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0260" w:type="dxa"/>
          </w:tcPr>
          <w:p w:rsidR="00C90B02" w:rsidRDefault="00C90B02" w:rsidP="00C90B02">
            <w:pPr>
              <w:tabs>
                <w:tab w:val="left" w:pos="2580"/>
              </w:tabs>
              <w:spacing w:after="160" w:line="259" w:lineRule="auto"/>
              <w:rPr>
                <w:rFonts w:asciiTheme="minorHAnsi" w:eastAsiaTheme="minorHAnsi" w:hAnsiTheme="minorHAnsi" w:cstheme="minorBidi"/>
                <w:b/>
                <w:sz w:val="28"/>
                <w:szCs w:val="28"/>
                <w:u w:val="single"/>
                <w:lang w:val="en-US" w:eastAsia="en-US"/>
              </w:rPr>
            </w:pPr>
          </w:p>
        </w:tc>
      </w:tr>
    </w:tbl>
    <w:p w:rsidR="00C90B02" w:rsidRDefault="00C90B02" w:rsidP="00C90B02">
      <w:pPr>
        <w:tabs>
          <w:tab w:val="left" w:pos="2580"/>
        </w:tabs>
        <w:spacing w:after="160" w:line="259" w:lineRule="auto"/>
        <w:rPr>
          <w:rFonts w:asciiTheme="minorHAnsi" w:eastAsiaTheme="minorHAnsi" w:hAnsiTheme="minorHAnsi" w:cstheme="minorBidi"/>
          <w:b/>
          <w:sz w:val="28"/>
          <w:szCs w:val="28"/>
          <w:u w:val="single"/>
          <w:lang w:val="en-US" w:eastAsia="en-US"/>
        </w:rPr>
      </w:pPr>
    </w:p>
    <w:sectPr w:rsidR="00C90B02"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89" w:rsidRDefault="00DF4289" w:rsidP="0007327F">
      <w:r>
        <w:separator/>
      </w:r>
    </w:p>
  </w:endnote>
  <w:endnote w:type="continuationSeparator" w:id="0">
    <w:p w:rsidR="00DF4289" w:rsidRDefault="00DF4289"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89" w:rsidRDefault="00DF4289" w:rsidP="0007327F">
      <w:r>
        <w:separator/>
      </w:r>
    </w:p>
  </w:footnote>
  <w:footnote w:type="continuationSeparator" w:id="0">
    <w:p w:rsidR="00DF4289" w:rsidRDefault="00DF4289"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E42FF9" w:rsidP="004A29EF">
    <w:pPr>
      <w:pStyle w:val="Header"/>
      <w:tabs>
        <w:tab w:val="clear" w:pos="4513"/>
        <w:tab w:val="clear" w:pos="9026"/>
        <w:tab w:val="left" w:pos="3095"/>
      </w:tabs>
    </w:pPr>
    <w:r>
      <w:rPr>
        <w:noProof/>
        <w:lang w:val="en-US" w:eastAsia="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left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6781" id="Rectangle 3" o:spid="_x0000_s1026" style="position:absolute;margin-left:0;margin-top:0;width:594.8pt;height:29.1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r w:rsidR="004A29EF">
      <w:rPr>
        <w:noProof/>
        <w:lang w:val="en-US" w:eastAsia="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E190E"/>
    <w:multiLevelType w:val="hybridMultilevel"/>
    <w:tmpl w:val="B94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937631"/>
    <w:multiLevelType w:val="hybridMultilevel"/>
    <w:tmpl w:val="1B0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00C"/>
    <w:multiLevelType w:val="hybridMultilevel"/>
    <w:tmpl w:val="992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1C53349"/>
    <w:multiLevelType w:val="hybridMultilevel"/>
    <w:tmpl w:val="761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0131D"/>
    <w:multiLevelType w:val="hybridMultilevel"/>
    <w:tmpl w:val="C2F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64741"/>
    <w:multiLevelType w:val="hybridMultilevel"/>
    <w:tmpl w:val="81FE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EC5F74"/>
    <w:multiLevelType w:val="hybridMultilevel"/>
    <w:tmpl w:val="716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10"/>
  </w:num>
  <w:num w:numId="8">
    <w:abstractNumId w:val="2"/>
  </w:num>
  <w:num w:numId="9">
    <w:abstractNumId w:val="19"/>
  </w:num>
  <w:num w:numId="10">
    <w:abstractNumId w:val="17"/>
  </w:num>
  <w:num w:numId="11">
    <w:abstractNumId w:val="3"/>
  </w:num>
  <w:num w:numId="12">
    <w:abstractNumId w:val="13"/>
  </w:num>
  <w:num w:numId="13">
    <w:abstractNumId w:val="0"/>
  </w:num>
  <w:num w:numId="14">
    <w:abstractNumId w:val="15"/>
  </w:num>
  <w:num w:numId="15">
    <w:abstractNumId w:val="16"/>
  </w:num>
  <w:num w:numId="16">
    <w:abstractNumId w:val="12"/>
  </w:num>
  <w:num w:numId="17">
    <w:abstractNumId w:val="14"/>
  </w:num>
  <w:num w:numId="18">
    <w:abstractNumId w:val="1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00287"/>
    <w:rsid w:val="0007327F"/>
    <w:rsid w:val="002A025D"/>
    <w:rsid w:val="002C25BD"/>
    <w:rsid w:val="003835AB"/>
    <w:rsid w:val="004A29EF"/>
    <w:rsid w:val="004B37D3"/>
    <w:rsid w:val="005404BE"/>
    <w:rsid w:val="005561D9"/>
    <w:rsid w:val="006A3A40"/>
    <w:rsid w:val="00815EC8"/>
    <w:rsid w:val="008762D6"/>
    <w:rsid w:val="008F18DF"/>
    <w:rsid w:val="009B6ABF"/>
    <w:rsid w:val="009E181C"/>
    <w:rsid w:val="00A11713"/>
    <w:rsid w:val="00A43762"/>
    <w:rsid w:val="00A964A1"/>
    <w:rsid w:val="00B407DF"/>
    <w:rsid w:val="00C17588"/>
    <w:rsid w:val="00C55F98"/>
    <w:rsid w:val="00C90B02"/>
    <w:rsid w:val="00DE6C4C"/>
    <w:rsid w:val="00DF4289"/>
    <w:rsid w:val="00E42FF9"/>
    <w:rsid w:val="00E93BB5"/>
    <w:rsid w:val="00EC631D"/>
    <w:rsid w:val="00FE080B"/>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F591"/>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styleId="NoSpacing">
    <w:name w:val="No Spacing"/>
    <w:uiPriority w:val="1"/>
    <w:qFormat/>
    <w:rsid w:val="00FE080B"/>
    <w:pPr>
      <w:spacing w:after="0" w:line="240" w:lineRule="auto"/>
    </w:pPr>
  </w:style>
  <w:style w:type="paragraph" w:styleId="BalloonText">
    <w:name w:val="Balloon Text"/>
    <w:basedOn w:val="Normal"/>
    <w:link w:val="BalloonTextChar"/>
    <w:uiPriority w:val="99"/>
    <w:semiHidden/>
    <w:unhideWhenUsed/>
    <w:rsid w:val="0000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87"/>
    <w:rPr>
      <w:rFonts w:ascii="Segoe UI" w:eastAsia="Times New Roman" w:hAnsi="Segoe UI" w:cs="Segoe UI"/>
      <w:sz w:val="18"/>
      <w:szCs w:val="18"/>
      <w:lang w:eastAsia="en-GB"/>
    </w:rPr>
  </w:style>
  <w:style w:type="table" w:styleId="TableGrid">
    <w:name w:val="Table Grid"/>
    <w:basedOn w:val="TableNormal"/>
    <w:uiPriority w:val="39"/>
    <w:rsid w:val="008F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cp:lastPrinted>2019-01-14T12:25:00Z</cp:lastPrinted>
  <dcterms:created xsi:type="dcterms:W3CDTF">2020-11-10T12:01:00Z</dcterms:created>
  <dcterms:modified xsi:type="dcterms:W3CDTF">2020-11-10T12:01:00Z</dcterms:modified>
</cp:coreProperties>
</file>